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left="1807" w:hanging="1807" w:hangingChars="5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广东财经大学《农民数字素养》团体标准制定及发布采购项目  </w:t>
      </w:r>
    </w:p>
    <w:p>
      <w:pPr>
        <w:widowControl/>
        <w:shd w:val="clear" w:color="auto" w:fill="FFFFFF"/>
        <w:spacing w:line="560" w:lineRule="exact"/>
        <w:jc w:val="left"/>
        <w:rPr>
          <w:b/>
          <w:sz w:val="36"/>
          <w:szCs w:val="36"/>
        </w:rPr>
      </w:pPr>
      <w:r>
        <w:rPr>
          <w:rFonts w:hint="eastAsia"/>
          <w:b/>
          <w:sz w:val="36"/>
          <w:szCs w:val="36"/>
        </w:rPr>
        <w:t>采购单位：</w:t>
      </w:r>
      <w:r>
        <w:rPr>
          <w:rFonts w:hint="eastAsia"/>
          <w:b/>
          <w:sz w:val="36"/>
          <w:szCs w:val="36"/>
          <w:u w:val="single"/>
        </w:rPr>
        <w:t>继续教育学院（广东财经大学）</w:t>
      </w:r>
    </w:p>
    <w:p>
      <w:pPr>
        <w:spacing w:line="760" w:lineRule="exact"/>
        <w:jc w:val="left"/>
        <w:rPr>
          <w:b/>
          <w:sz w:val="36"/>
          <w:szCs w:val="36"/>
        </w:rPr>
      </w:pPr>
      <w:r>
        <w:rPr>
          <w:rFonts w:hint="eastAsia"/>
          <w:b/>
          <w:sz w:val="36"/>
          <w:szCs w:val="36"/>
        </w:rPr>
        <w:t>发布时间：</w:t>
      </w:r>
      <w:r>
        <w:rPr>
          <w:rFonts w:hint="eastAsia" w:ascii="宋体" w:hAnsi="宋体"/>
          <w:b/>
          <w:sz w:val="36"/>
          <w:u w:val="single"/>
        </w:rPr>
        <w:t xml:space="preserve"> 2024年1月17日      </w:t>
      </w:r>
    </w:p>
    <w:p>
      <w:pPr>
        <w:spacing w:line="760" w:lineRule="exact"/>
        <w:ind w:firstLine="1084" w:firstLineChars="300"/>
        <w:rPr>
          <w:rFonts w:ascii="宋体" w:hAnsi="宋体"/>
          <w:b/>
          <w:sz w:val="36"/>
          <w:szCs w:val="36"/>
          <w:u w:val="single"/>
        </w:rPr>
      </w:pPr>
    </w:p>
    <w:p>
      <w:pPr>
        <w:jc w:val="center"/>
        <w:rPr>
          <w:b/>
          <w:sz w:val="52"/>
          <w:szCs w:val="52"/>
        </w:rPr>
      </w:pPr>
      <w:r>
        <w:rPr>
          <w:rFonts w:ascii="宋体" w:hAnsi="宋体"/>
          <w:sz w:val="32"/>
          <w:szCs w:val="32"/>
        </w:rPr>
        <w:br w:type="column"/>
      </w:r>
      <w:r>
        <w:rPr>
          <w:rFonts w:hint="eastAsia"/>
          <w:sz w:val="52"/>
          <w:szCs w:val="52"/>
        </w:rPr>
        <w:t>目录</w:t>
      </w:r>
    </w:p>
    <w:p>
      <w:pPr>
        <w:pStyle w:val="19"/>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5"/>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9"/>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135"/>
      <w:bookmarkStart w:id="1" w:name="_Toc60236697"/>
      <w:bookmarkStart w:id="2" w:name="_Toc508103350"/>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pStyle w:val="26"/>
        <w:widowControl/>
        <w:shd w:val="clear" w:color="auto" w:fill="FFFFFF"/>
        <w:spacing w:line="560" w:lineRule="atLeast"/>
        <w:ind w:firstLine="560"/>
        <w:rPr>
          <w:rFonts w:ascii="Times New Roman" w:hAnsi="Times New Roman"/>
          <w:color w:val="000000"/>
          <w:sz w:val="21"/>
          <w:szCs w:val="21"/>
        </w:rPr>
      </w:pPr>
      <w:r>
        <w:rPr>
          <w:rFonts w:hint="eastAsia" w:ascii="宋体" w:hAnsi="宋体" w:cs="宋体"/>
          <w:color w:val="000000"/>
          <w:sz w:val="28"/>
          <w:szCs w:val="28"/>
          <w:shd w:val="clear" w:color="auto" w:fill="FFFFFF"/>
        </w:rPr>
        <w:t>1.项目名称：</w:t>
      </w:r>
      <w:r>
        <w:rPr>
          <w:rFonts w:hint="eastAsia" w:ascii="宋体" w:hAnsi="宋体" w:cs="宋体"/>
          <w:color w:val="000000"/>
          <w:sz w:val="28"/>
          <w:szCs w:val="28"/>
          <w:u w:val="single"/>
          <w:shd w:val="clear" w:color="auto" w:fill="FFFFFF"/>
        </w:rPr>
        <w:t>广东财经大学《农民数字素养》团体标准制定及发布采购项目</w:t>
      </w:r>
      <w:r>
        <w:rPr>
          <w:rFonts w:hint="eastAsia" w:ascii="宋体" w:hAnsi="宋体" w:cs="宋体"/>
          <w:color w:val="000000"/>
          <w:sz w:val="28"/>
          <w:szCs w:val="28"/>
          <w:shd w:val="clear" w:color="auto" w:fill="FFFFFF"/>
        </w:rPr>
        <w:t>。</w:t>
      </w:r>
    </w:p>
    <w:p>
      <w:pPr>
        <w:pStyle w:val="26"/>
        <w:widowControl/>
        <w:shd w:val="clear" w:color="auto" w:fill="FFFFFF"/>
        <w:spacing w:line="560" w:lineRule="atLeast"/>
        <w:ind w:firstLine="560"/>
        <w:rPr>
          <w:rFonts w:ascii="Times New Roman" w:hAnsi="Times New Roman"/>
          <w:color w:val="000000"/>
          <w:sz w:val="21"/>
          <w:szCs w:val="21"/>
        </w:rPr>
      </w:pPr>
      <w:r>
        <w:rPr>
          <w:rFonts w:hint="eastAsia" w:ascii="宋体" w:hAnsi="宋体" w:cs="宋体"/>
          <w:color w:val="000000"/>
          <w:sz w:val="28"/>
          <w:szCs w:val="28"/>
          <w:shd w:val="clear" w:color="auto" w:fill="FFFFFF"/>
        </w:rPr>
        <w:t xml:space="preserve">2.经费预算：人民币 </w:t>
      </w:r>
      <w:r>
        <w:rPr>
          <w:rFonts w:hint="eastAsia" w:ascii="宋体" w:hAnsi="宋体" w:cs="宋体"/>
          <w:color w:val="000000"/>
          <w:sz w:val="28"/>
          <w:szCs w:val="28"/>
          <w:u w:val="single"/>
          <w:shd w:val="clear" w:color="auto" w:fill="FFFFFF"/>
        </w:rPr>
        <w:t>4.5</w:t>
      </w:r>
      <w:r>
        <w:rPr>
          <w:rFonts w:hint="eastAsia" w:ascii="宋体" w:hAnsi="宋体" w:cs="宋体"/>
          <w:color w:val="000000"/>
          <w:sz w:val="28"/>
          <w:szCs w:val="28"/>
          <w:shd w:val="clear" w:color="auto" w:fill="FFFFFF"/>
        </w:rPr>
        <w:t>万元，经费来源：(204-520405) 发展基金。</w:t>
      </w:r>
    </w:p>
    <w:p>
      <w:pPr>
        <w:pStyle w:val="26"/>
        <w:widowControl/>
        <w:shd w:val="clear" w:color="auto" w:fill="FFFFFF"/>
        <w:spacing w:line="560" w:lineRule="atLeast"/>
        <w:ind w:firstLine="560"/>
        <w:rPr>
          <w:rFonts w:ascii="Times New Roman" w:hAnsi="Times New Roman"/>
          <w:color w:val="000000"/>
          <w:sz w:val="21"/>
          <w:szCs w:val="21"/>
        </w:rPr>
      </w:pPr>
      <w:r>
        <w:rPr>
          <w:rFonts w:hint="eastAsia" w:ascii="宋体" w:hAnsi="宋体" w:cs="宋体"/>
          <w:color w:val="000000"/>
          <w:sz w:val="28"/>
          <w:szCs w:val="28"/>
          <w:shd w:val="clear" w:color="auto" w:fill="FFFFFF"/>
        </w:rPr>
        <w:t>3.项目简介与总体要求：</w:t>
      </w:r>
    </w:p>
    <w:p>
      <w:pPr>
        <w:pStyle w:val="26"/>
        <w:widowControl/>
        <w:shd w:val="clear" w:color="auto" w:fill="FFFFFF"/>
        <w:spacing w:line="560" w:lineRule="atLeast"/>
        <w:ind w:firstLine="560"/>
        <w:rPr>
          <w:rFonts w:ascii="宋体" w:hAnsi="宋体" w:cs="宋体"/>
          <w:color w:val="000000"/>
          <w:sz w:val="28"/>
          <w:szCs w:val="28"/>
          <w:u w:val="single"/>
          <w:shd w:val="clear" w:color="auto" w:fill="FFFFFF"/>
        </w:rPr>
      </w:pPr>
      <w:r>
        <w:rPr>
          <w:rFonts w:hint="eastAsia" w:ascii="宋体" w:hAnsi="宋体" w:cs="宋体"/>
          <w:color w:val="000000"/>
          <w:sz w:val="28"/>
          <w:szCs w:val="28"/>
          <w:u w:val="single"/>
          <w:shd w:val="clear" w:color="auto" w:fill="FFFFFF"/>
        </w:rPr>
        <w:t>为深入实施《数字乡村发展战略纲要》《数字乡村发展行动计划（2022-2025 年）》，推进“百县千镇万村高质量发展工程”促进城乡区域协调发展，现招标采购服务，要求配合我校制订并发布《农民数字素养》团体标准。要求完成《农民数字素养》（标准名拟）团体标准的制订及发布等工作，并提供完整的过程性材料。</w:t>
      </w:r>
    </w:p>
    <w:p>
      <w:pPr>
        <w:pStyle w:val="26"/>
        <w:widowControl/>
        <w:shd w:val="clear" w:color="auto" w:fill="FFFFFF"/>
        <w:spacing w:line="560" w:lineRule="atLeast"/>
        <w:ind w:firstLine="560"/>
        <w:rPr>
          <w:rFonts w:ascii="Times New Roman" w:hAnsi="Times New Roman"/>
          <w:color w:val="000000"/>
          <w:sz w:val="21"/>
          <w:szCs w:val="21"/>
        </w:rPr>
      </w:pPr>
      <w:r>
        <w:rPr>
          <w:rFonts w:hint="eastAsia" w:ascii="宋体" w:hAnsi="宋体" w:cs="宋体"/>
          <w:color w:val="000000"/>
          <w:sz w:val="28"/>
          <w:szCs w:val="28"/>
          <w:shd w:val="clear" w:color="auto" w:fill="FFFFFF"/>
        </w:rPr>
        <w:t>4.具体服务的要求：</w:t>
      </w:r>
    </w:p>
    <w:p>
      <w:pPr>
        <w:pStyle w:val="26"/>
        <w:widowControl/>
        <w:shd w:val="clear" w:color="auto" w:fill="FFFFFF"/>
        <w:spacing w:line="560" w:lineRule="atLeast"/>
        <w:ind w:firstLine="560"/>
        <w:rPr>
          <w:rFonts w:ascii="Times New Roman" w:hAnsi="Times New Roman"/>
          <w:color w:val="000000"/>
          <w:sz w:val="21"/>
          <w:szCs w:val="21"/>
        </w:rPr>
      </w:pPr>
      <w:r>
        <w:rPr>
          <w:rFonts w:hint="eastAsia" w:ascii="宋体" w:hAnsi="宋体" w:cs="宋体"/>
          <w:color w:val="000000"/>
          <w:sz w:val="28"/>
          <w:szCs w:val="28"/>
          <w:u w:val="single"/>
          <w:shd w:val="clear" w:color="auto" w:fill="FFFFFF"/>
        </w:rPr>
        <w:t>在合同签订后45个工作日内完成《农民数字素养》团体标准的制订及发布等工作，并提供完整的过程性材料。</w:t>
      </w:r>
    </w:p>
    <w:p>
      <w:pPr>
        <w:spacing w:line="560" w:lineRule="exact"/>
        <w:ind w:firstLine="560" w:firstLineChars="200"/>
        <w:rPr>
          <w:rFonts w:ascii="宋体" w:hAnsi="宋体"/>
          <w:sz w:val="28"/>
          <w:szCs w:val="28"/>
        </w:rPr>
      </w:pPr>
      <w:r>
        <w:rPr>
          <w:rFonts w:hint="eastAsia" w:ascii="宋体" w:hAnsi="宋体"/>
          <w:sz w:val="28"/>
          <w:szCs w:val="28"/>
        </w:rPr>
        <w:t>①制订团体标准工作计划书，明确工作进度及分工。</w:t>
      </w:r>
    </w:p>
    <w:p>
      <w:pPr>
        <w:spacing w:line="560" w:lineRule="exact"/>
        <w:ind w:firstLine="560" w:firstLineChars="200"/>
        <w:rPr>
          <w:rFonts w:ascii="宋体" w:hAnsi="宋体"/>
          <w:sz w:val="28"/>
          <w:szCs w:val="28"/>
        </w:rPr>
      </w:pPr>
      <w:r>
        <w:rPr>
          <w:rFonts w:hint="eastAsia" w:ascii="宋体" w:hAnsi="宋体"/>
          <w:sz w:val="28"/>
          <w:szCs w:val="28"/>
        </w:rPr>
        <w:t>②组建标准编制工作组，建立工作群，对团体标准前期开展资料收集、论证、调研等工作。</w:t>
      </w:r>
    </w:p>
    <w:p>
      <w:pPr>
        <w:spacing w:line="560" w:lineRule="exact"/>
        <w:ind w:firstLine="560" w:firstLineChars="200"/>
        <w:rPr>
          <w:rFonts w:ascii="宋体" w:hAnsi="宋体"/>
          <w:sz w:val="28"/>
          <w:szCs w:val="28"/>
        </w:rPr>
      </w:pPr>
      <w:r>
        <w:rPr>
          <w:rFonts w:hint="eastAsia" w:ascii="宋体" w:hAnsi="宋体"/>
          <w:sz w:val="28"/>
          <w:szCs w:val="28"/>
        </w:rPr>
        <w:t>③组织团体标准立项事宜，协助做好团体标准立项申请书、标准编制工作组报名、跟踪立项进度等。</w:t>
      </w:r>
    </w:p>
    <w:p>
      <w:pPr>
        <w:spacing w:line="560" w:lineRule="exact"/>
        <w:ind w:firstLine="560" w:firstLineChars="200"/>
        <w:rPr>
          <w:rFonts w:ascii="宋体" w:hAnsi="宋体"/>
          <w:sz w:val="28"/>
          <w:szCs w:val="28"/>
        </w:rPr>
      </w:pPr>
      <w:r>
        <w:rPr>
          <w:rFonts w:hint="eastAsia" w:ascii="宋体" w:hAnsi="宋体"/>
          <w:sz w:val="28"/>
          <w:szCs w:val="28"/>
        </w:rPr>
        <w:t>④组织编制工作组讨论完善团体标准草案，根据甲方需求召开技术研讨会。</w:t>
      </w:r>
    </w:p>
    <w:p>
      <w:pPr>
        <w:spacing w:line="560" w:lineRule="exact"/>
        <w:ind w:firstLine="560" w:firstLineChars="200"/>
        <w:rPr>
          <w:rFonts w:ascii="宋体" w:hAnsi="宋体"/>
          <w:sz w:val="28"/>
          <w:szCs w:val="28"/>
        </w:rPr>
      </w:pPr>
      <w:r>
        <w:rPr>
          <w:rFonts w:hint="eastAsia" w:ascii="宋体" w:hAnsi="宋体"/>
          <w:sz w:val="28"/>
          <w:szCs w:val="28"/>
        </w:rPr>
        <w:t>⑤编制团体标准征求意见稿、编制说明，公开征集意见并汇总整理。</w:t>
      </w:r>
    </w:p>
    <w:p>
      <w:pPr>
        <w:spacing w:line="560" w:lineRule="exact"/>
        <w:ind w:firstLine="560" w:firstLineChars="200"/>
        <w:rPr>
          <w:rFonts w:ascii="宋体" w:hAnsi="宋体"/>
          <w:sz w:val="28"/>
          <w:szCs w:val="28"/>
        </w:rPr>
      </w:pPr>
      <w:r>
        <w:rPr>
          <w:rFonts w:hint="eastAsia" w:ascii="宋体" w:hAnsi="宋体"/>
          <w:sz w:val="28"/>
          <w:szCs w:val="28"/>
        </w:rPr>
        <w:t>⑥修改标准文本并形成标准送审稿。</w:t>
      </w:r>
    </w:p>
    <w:p>
      <w:pPr>
        <w:spacing w:line="560" w:lineRule="exact"/>
        <w:ind w:firstLine="560" w:firstLineChars="200"/>
        <w:rPr>
          <w:rFonts w:ascii="宋体" w:hAnsi="宋体"/>
          <w:sz w:val="28"/>
          <w:szCs w:val="28"/>
        </w:rPr>
      </w:pPr>
      <w:r>
        <w:rPr>
          <w:rFonts w:hint="eastAsia" w:ascii="宋体" w:hAnsi="宋体"/>
          <w:sz w:val="28"/>
          <w:szCs w:val="28"/>
        </w:rPr>
        <w:t>⑦依据《团体标准管理规定》要求，组织召开团体标准技术审查会，邀请5～7名标准化专家和行业专家，专家组负责对团体标准送审稿进行技术审查，并出具审查结论。</w:t>
      </w:r>
    </w:p>
    <w:p>
      <w:pPr>
        <w:spacing w:line="560" w:lineRule="exact"/>
        <w:ind w:firstLine="560" w:firstLineChars="200"/>
        <w:rPr>
          <w:rFonts w:ascii="宋体" w:hAnsi="宋体"/>
          <w:sz w:val="28"/>
          <w:szCs w:val="28"/>
        </w:rPr>
      </w:pPr>
      <w:r>
        <w:rPr>
          <w:rFonts w:hint="eastAsia" w:ascii="宋体" w:hAnsi="宋体"/>
          <w:sz w:val="28"/>
          <w:szCs w:val="28"/>
        </w:rPr>
        <w:t>⑧团体标准通过专家组审定后，根据GB/T 1.1《标准化工作导则第1部分：标准化文件的结构和起草规则》对团标格式进行终审并由广东省市场监督管理局下属协会上报国标委全国团体标准信息网平台发布。</w:t>
      </w:r>
    </w:p>
    <w:p>
      <w:pPr>
        <w:spacing w:line="560" w:lineRule="exact"/>
        <w:ind w:firstLine="560" w:firstLineChars="200"/>
        <w:rPr>
          <w:rFonts w:ascii="宋体" w:hAnsi="宋体"/>
          <w:sz w:val="28"/>
          <w:szCs w:val="28"/>
        </w:rPr>
      </w:pPr>
      <w:r>
        <w:rPr>
          <w:rFonts w:hint="eastAsia" w:ascii="宋体" w:hAnsi="宋体"/>
          <w:sz w:val="28"/>
          <w:szCs w:val="28"/>
        </w:rPr>
        <w:t>⑨及时处理团体标准制订发布过程出现的问题。</w:t>
      </w:r>
    </w:p>
    <w:p>
      <w:pPr>
        <w:pStyle w:val="3"/>
        <w:spacing w:line="560" w:lineRule="exact"/>
      </w:pPr>
      <w:bookmarkStart w:id="7" w:name="_Toc28829"/>
      <w:bookmarkStart w:id="8" w:name="_Toc60236699"/>
      <w:bookmarkStart w:id="9" w:name="_Toc508103352"/>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508103353"/>
      <w:bookmarkStart w:id="11" w:name="_Toc11839"/>
      <w:bookmarkStart w:id="12" w:name="_Toc60236700"/>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6"/>
      </w:pPr>
      <w:r>
        <w:rPr>
          <w:rFonts w:hint="eastAsia" w:ascii="宋体" w:hAnsi="宋体"/>
          <w:sz w:val="28"/>
          <w:szCs w:val="28"/>
        </w:rPr>
        <w:t>（三）参加采购活动前3年内，在经营活动中没有重大违法记录，有依法缴纳税收和社会保障资金的良好记录，具有良好的商业信誉和健全的财务会计制度，履行合同所必需的设备和专业技术能力。（提供书面声明）。</w:t>
      </w:r>
    </w:p>
    <w:p>
      <w:pPr>
        <w:pStyle w:val="3"/>
        <w:spacing w:line="560" w:lineRule="exact"/>
      </w:pPr>
      <w:bookmarkStart w:id="13" w:name="_Toc20873"/>
      <w:bookmarkStart w:id="14" w:name="_Toc60236701"/>
      <w:bookmarkStart w:id="15" w:name="_Toc508103354"/>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18253"/>
      <w:bookmarkStart w:id="17" w:name="_Toc60236702"/>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508103356"/>
      <w:bookmarkStart w:id="20" w:name="_Toc60236703"/>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（二）综合评审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 xml:space="preserve">本项目采用方式 </w:t>
      </w:r>
      <w:r>
        <w:rPr>
          <w:rFonts w:hint="eastAsia" w:ascii="宋体" w:hAnsi="宋体"/>
          <w:sz w:val="28"/>
          <w:szCs w:val="28"/>
          <w:lang w:val="en-US" w:eastAsia="zh-CN"/>
        </w:rPr>
        <w:t xml:space="preserve">      </w:t>
      </w:r>
      <w:r>
        <w:rPr>
          <w:rFonts w:hint="eastAsia" w:ascii="宋体" w:hAnsi="宋体"/>
          <w:sz w:val="28"/>
          <w:szCs w:val="28"/>
        </w:rPr>
        <w:t>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3</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参加采购活动前3年内，在经营活动中没有重大违法记录，有依法缴纳税收和社会保障资金的良好记录，具有良好的商业信誉和健全的</w:t>
            </w:r>
            <w:bookmarkStart w:id="31" w:name="_GoBack"/>
            <w:bookmarkEnd w:id="31"/>
            <w:r>
              <w:rPr>
                <w:rFonts w:hint="eastAsia" w:ascii="宋体" w:hAnsi="宋体"/>
                <w:color w:val="auto"/>
                <w:sz w:val="28"/>
                <w:szCs w:val="28"/>
              </w:rPr>
              <w:t>财务会计制度，履行合同所必需的设备和专业技术能力。（提供书面声明）</w:t>
            </w:r>
          </w:p>
        </w:tc>
        <w:tc>
          <w:tcPr>
            <w:tcW w:w="1465" w:type="dxa"/>
            <w:noWrap/>
            <w:vAlign w:val="center"/>
          </w:tcPr>
          <w:p>
            <w:pPr>
              <w:spacing w:line="400" w:lineRule="exact"/>
              <w:rPr>
                <w:rFonts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78" w:beforeLines="25" w:after="78"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pStyle w:val="103"/>
        <w:spacing w:line="420" w:lineRule="atLeast"/>
        <w:ind w:firstLine="455"/>
        <w:rPr>
          <w:rFonts w:ascii="宋体" w:eastAsia="宋体"/>
          <w:b/>
          <w:color w:val="000000"/>
          <w:sz w:val="22"/>
          <w:szCs w:val="22"/>
        </w:rPr>
      </w:pPr>
      <w:bookmarkStart w:id="23" w:name="_Toc60236707"/>
      <w:r>
        <w:rPr>
          <w:rFonts w:hint="eastAsia" w:ascii="宋体" w:eastAsia="宋体"/>
          <w:b/>
          <w:color w:val="000000"/>
          <w:sz w:val="22"/>
          <w:szCs w:val="22"/>
        </w:rPr>
        <w:t>（1）各部分权重如下：</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010"/>
        <w:gridCol w:w="2011"/>
        <w:gridCol w:w="200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43" w:type="dxa"/>
            <w:shd w:val="clear" w:color="auto" w:fill="EEECE1"/>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评分项目</w:t>
            </w:r>
          </w:p>
        </w:tc>
        <w:tc>
          <w:tcPr>
            <w:tcW w:w="2010" w:type="dxa"/>
            <w:shd w:val="clear" w:color="auto" w:fill="EEECE1"/>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价格因数</w:t>
            </w:r>
          </w:p>
        </w:tc>
        <w:tc>
          <w:tcPr>
            <w:tcW w:w="2011" w:type="dxa"/>
            <w:shd w:val="clear" w:color="auto" w:fill="EEECE1"/>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技术</w:t>
            </w:r>
            <w:r>
              <w:rPr>
                <w:rFonts w:hint="eastAsia" w:ascii="宋体" w:eastAsia="宋体" w:cs="宋体"/>
                <w:b/>
                <w:color w:val="000000"/>
                <w:sz w:val="22"/>
                <w:szCs w:val="22"/>
              </w:rPr>
              <w:t>因数</w:t>
            </w:r>
          </w:p>
        </w:tc>
        <w:tc>
          <w:tcPr>
            <w:tcW w:w="2009" w:type="dxa"/>
            <w:shd w:val="clear" w:color="auto" w:fill="EEECE1"/>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商务因数</w:t>
            </w:r>
          </w:p>
        </w:tc>
        <w:tc>
          <w:tcPr>
            <w:tcW w:w="1266" w:type="dxa"/>
            <w:shd w:val="clear" w:color="auto" w:fill="EEECE1"/>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743" w:type="dxa"/>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满分</w:t>
            </w:r>
          </w:p>
        </w:tc>
        <w:tc>
          <w:tcPr>
            <w:tcW w:w="2010" w:type="dxa"/>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2</w:t>
            </w:r>
            <w:r>
              <w:rPr>
                <w:rFonts w:ascii="宋体" w:eastAsia="宋体" w:cs="宋体"/>
                <w:b/>
                <w:color w:val="000000"/>
                <w:sz w:val="22"/>
                <w:szCs w:val="22"/>
              </w:rPr>
              <w:t>0</w:t>
            </w:r>
          </w:p>
        </w:tc>
        <w:tc>
          <w:tcPr>
            <w:tcW w:w="2011" w:type="dxa"/>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6</w:t>
            </w:r>
            <w:r>
              <w:rPr>
                <w:rFonts w:ascii="宋体" w:eastAsia="宋体" w:cs="宋体"/>
                <w:b/>
                <w:color w:val="000000"/>
                <w:sz w:val="22"/>
                <w:szCs w:val="22"/>
              </w:rPr>
              <w:t>0</w:t>
            </w:r>
          </w:p>
        </w:tc>
        <w:tc>
          <w:tcPr>
            <w:tcW w:w="2009" w:type="dxa"/>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hint="eastAsia" w:ascii="宋体" w:eastAsia="宋体" w:cs="宋体"/>
                <w:b/>
                <w:color w:val="000000"/>
                <w:sz w:val="22"/>
                <w:szCs w:val="22"/>
              </w:rPr>
              <w:t>20</w:t>
            </w:r>
          </w:p>
        </w:tc>
        <w:tc>
          <w:tcPr>
            <w:tcW w:w="1266" w:type="dxa"/>
            <w:vAlign w:val="center"/>
          </w:tcPr>
          <w:p>
            <w:pPr>
              <w:pStyle w:val="103"/>
              <w:adjustRightInd w:val="0"/>
              <w:snapToGrid w:val="0"/>
              <w:spacing w:line="240" w:lineRule="auto"/>
              <w:ind w:firstLine="0" w:firstLineChars="0"/>
              <w:jc w:val="center"/>
              <w:rPr>
                <w:rFonts w:ascii="宋体" w:eastAsia="宋体" w:cs="宋体"/>
                <w:b/>
                <w:color w:val="000000"/>
                <w:sz w:val="22"/>
                <w:szCs w:val="22"/>
              </w:rPr>
            </w:pPr>
            <w:r>
              <w:rPr>
                <w:rFonts w:ascii="宋体" w:eastAsia="宋体" w:cs="宋体"/>
                <w:b/>
                <w:color w:val="000000"/>
                <w:sz w:val="22"/>
                <w:szCs w:val="22"/>
              </w:rPr>
              <w:t>100</w:t>
            </w:r>
          </w:p>
        </w:tc>
      </w:tr>
    </w:tbl>
    <w:p>
      <w:pPr>
        <w:spacing w:line="560" w:lineRule="exact"/>
        <w:ind w:firstLine="562" w:firstLineChars="200"/>
        <w:rPr>
          <w:rFonts w:ascii="宋体" w:hAnsi="宋体"/>
          <w:b/>
          <w:sz w:val="28"/>
          <w:szCs w:val="28"/>
        </w:rPr>
      </w:pPr>
    </w:p>
    <w:p>
      <w:pPr>
        <w:pStyle w:val="103"/>
        <w:spacing w:line="420" w:lineRule="atLeast"/>
        <w:ind w:firstLine="455"/>
        <w:rPr>
          <w:rFonts w:ascii="宋体" w:eastAsia="宋体"/>
          <w:b/>
          <w:color w:val="000000"/>
          <w:sz w:val="22"/>
          <w:szCs w:val="22"/>
        </w:rPr>
      </w:pPr>
      <w:r>
        <w:rPr>
          <w:rFonts w:hint="eastAsia" w:ascii="宋体" w:eastAsia="宋体"/>
          <w:b/>
          <w:color w:val="000000"/>
          <w:sz w:val="22"/>
          <w:szCs w:val="22"/>
        </w:rPr>
        <w:t>（2）详细评审表</w:t>
      </w:r>
    </w:p>
    <w:tbl>
      <w:tblPr>
        <w:tblStyle w:val="28"/>
        <w:tblpPr w:leftFromText="180" w:rightFromText="180" w:vertAnchor="text" w:horzAnchor="margin" w:tblpXSpec="center" w:tblpY="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75"/>
        <w:gridCol w:w="783"/>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50" w:type="dxa"/>
            <w:gridSpan w:val="2"/>
            <w:noWrap/>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color w:val="000000"/>
                <w:szCs w:val="21"/>
              </w:rPr>
              <w:t>评审因素</w:t>
            </w:r>
          </w:p>
        </w:tc>
        <w:tc>
          <w:tcPr>
            <w:tcW w:w="783" w:type="dxa"/>
            <w:noWrap/>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分值</w:t>
            </w:r>
          </w:p>
        </w:tc>
        <w:tc>
          <w:tcPr>
            <w:tcW w:w="6464" w:type="dxa"/>
            <w:noWrap/>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color w:val="00000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价</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格</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因</w:t>
            </w:r>
          </w:p>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素</w:t>
            </w:r>
          </w:p>
        </w:tc>
        <w:tc>
          <w:tcPr>
            <w:tcW w:w="975" w:type="dxa"/>
            <w:noWrap/>
            <w:vAlign w:val="center"/>
          </w:tcPr>
          <w:p>
            <w:pPr>
              <w:pStyle w:val="11"/>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价格分析</w:t>
            </w:r>
          </w:p>
        </w:tc>
        <w:tc>
          <w:tcPr>
            <w:tcW w:w="7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c>
          <w:tcPr>
            <w:tcW w:w="6464" w:type="dxa"/>
            <w:noWrap/>
            <w:vAlign w:val="center"/>
          </w:tcPr>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1、价格评审满分为20分，为客观计算得分。</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2、以所有通过资格性与符合性审查的投标人的投标总价作为评审的依据，投标人价格得分评分方法如下：</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评标基准价＝实质性满足招标文件要求且投标价格最低的投标总价；</w:t>
            </w:r>
          </w:p>
          <w:p>
            <w:pPr>
              <w:pStyle w:val="11"/>
              <w:spacing w:line="276"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投标人价格得分＝</w:t>
            </w:r>
            <w:r>
              <w:rPr>
                <w:rFonts w:hint="eastAsia" w:asciiTheme="minorEastAsia" w:hAnsiTheme="minorEastAsia" w:eastAsiaTheme="minorEastAsia"/>
                <w:kern w:val="2"/>
                <w:position w:val="-26"/>
                <w:sz w:val="21"/>
                <w:szCs w:val="21"/>
              </w:rPr>
              <w:object>
                <v:shape id="_x0000_i1025" o:spt="75" type="#_x0000_t75" style="height:31.5pt;width:69pt;" o:ole="t" filled="f" o:preferrelative="t" stroked="f" coordsize="21600,21600">
                  <v:path/>
                  <v:fill on="f" focussize="0,0"/>
                  <v:stroke on="f" joinstyle="miter"/>
                  <v:imagedata r:id="rId11" o:title=""/>
                  <o:lock v:ext="edit" aspectratio="t"/>
                  <w10:wrap type="none"/>
                  <w10:anchorlock/>
                </v:shape>
                <o:OLEObject Type="Embed" ProgID="Equations" ShapeID="_x0000_i1025" DrawAspect="Content" ObjectID="_1468075725" r:id="rId10">
                  <o:LockedField>false</o:LockedField>
                </o:OLEObject>
              </w:object>
            </w:r>
            <w:r>
              <w:rPr>
                <w:rFonts w:hint="eastAsia" w:asciiTheme="minorEastAsia" w:hAnsiTheme="minorEastAsia" w:eastAsiaTheme="minorEastAsia"/>
                <w:kern w:val="2"/>
                <w:sz w:val="21"/>
                <w:szCs w:val="21"/>
              </w:rPr>
              <w:t>×20。</w:t>
            </w:r>
          </w:p>
          <w:p>
            <w:pPr>
              <w:pStyle w:val="11"/>
              <w:spacing w:line="276" w:lineRule="auto"/>
              <w:ind w:firstLine="0"/>
              <w:rPr>
                <w:rFonts w:asciiTheme="minorEastAsia" w:hAnsiTheme="minorEastAsia" w:eastAsiaTheme="minorEastAsia"/>
                <w:kern w:val="2"/>
                <w:sz w:val="21"/>
                <w:szCs w:val="21"/>
              </w:rPr>
            </w:pPr>
            <w:r>
              <w:rPr>
                <w:rFonts w:hint="eastAsia" w:cs="宋体"/>
                <w:b/>
                <w:bCs/>
                <w:color w:val="000000"/>
                <w:sz w:val="21"/>
                <w:szCs w:val="21"/>
              </w:rPr>
              <w:t>注：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675" w:type="dxa"/>
            <w:vMerge w:val="restart"/>
            <w:noWrap/>
            <w:vAlign w:val="center"/>
          </w:tcPr>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技</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术</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因</w:t>
            </w:r>
          </w:p>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素</w:t>
            </w:r>
          </w:p>
        </w:tc>
        <w:tc>
          <w:tcPr>
            <w:tcW w:w="975" w:type="dxa"/>
            <w:noWrap/>
            <w:vAlign w:val="center"/>
          </w:tcPr>
          <w:p>
            <w:pPr>
              <w:pStyle w:val="11"/>
              <w:spacing w:line="300" w:lineRule="auto"/>
              <w:ind w:firstLine="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对本服务项目的目标、任务标准的理解、分析</w:t>
            </w:r>
          </w:p>
        </w:tc>
        <w:tc>
          <w:tcPr>
            <w:tcW w:w="783"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20</w:t>
            </w:r>
          </w:p>
        </w:tc>
        <w:tc>
          <w:tcPr>
            <w:tcW w:w="6464" w:type="dxa"/>
            <w:noWrap/>
          </w:tcPr>
          <w:p>
            <w:pPr>
              <w:jc w:val="left"/>
              <w:rPr>
                <w:rFonts w:asciiTheme="minorEastAsia" w:hAnsiTheme="minorEastAsia" w:eastAsiaTheme="minorEastAsia"/>
                <w:bCs/>
                <w:szCs w:val="21"/>
              </w:rPr>
            </w:pPr>
            <w:r>
              <w:t>根据各投标人针对本项目技术标准与要求各包组的项目目标、任务标准的理解、分析方案进行评审： 方案内容描述清晰、完整，分析内容详尽深入，所提供的方案满足且优于采购需求的，得</w:t>
            </w:r>
            <w:r>
              <w:rPr>
                <w:rFonts w:hint="eastAsia"/>
              </w:rPr>
              <w:t>20</w:t>
            </w:r>
            <w:r>
              <w:t>分； 方案内容描述清晰、完整，有进行内容分析，所提供的方案满足采购需求的，得</w:t>
            </w:r>
            <w:r>
              <w:rPr>
                <w:rFonts w:hint="eastAsia"/>
              </w:rPr>
              <w:t>15</w:t>
            </w:r>
            <w:r>
              <w:t>分； 方案内容描述清晰、但内容</w:t>
            </w:r>
            <w:r>
              <w:rPr>
                <w:rFonts w:hint="eastAsia"/>
              </w:rPr>
              <w:t>部分</w:t>
            </w:r>
            <w:r>
              <w:t>不完整，未进行分析，所提供的方案基本满足采购需求的，得</w:t>
            </w:r>
            <w:r>
              <w:rPr>
                <w:rFonts w:hint="eastAsia"/>
              </w:rPr>
              <w:t>10</w:t>
            </w:r>
            <w:r>
              <w:t>分；方案内容描述</w:t>
            </w:r>
            <w:r>
              <w:rPr>
                <w:rFonts w:hint="eastAsia"/>
              </w:rPr>
              <w:t>不</w:t>
            </w:r>
            <w:r>
              <w:t>清晰、内容不完整，未进行分析，所提供的方案基本满足采购需求的，得</w:t>
            </w:r>
            <w:r>
              <w:rPr>
                <w:rFonts w:hint="eastAsia"/>
              </w:rPr>
              <w:t>5</w:t>
            </w:r>
            <w:r>
              <w:t>分；方案内容描述不清晰、内容不完整，未进行分析，所提供的方案不满足采购需求的不得分； 无提供或其他均不得分。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75" w:type="dxa"/>
            <w:vMerge w:val="continue"/>
            <w:noWrap/>
            <w:textDirection w:val="tbRlV"/>
            <w:vAlign w:val="center"/>
          </w:tcPr>
          <w:p>
            <w:pPr>
              <w:pStyle w:val="11"/>
              <w:spacing w:line="300" w:lineRule="auto"/>
              <w:ind w:firstLine="0"/>
              <w:rPr>
                <w:rFonts w:asciiTheme="minorEastAsia" w:hAnsiTheme="minorEastAsia" w:eastAsiaTheme="minorEastAsia"/>
                <w:kern w:val="2"/>
                <w:sz w:val="21"/>
                <w:szCs w:val="21"/>
              </w:rPr>
            </w:pPr>
          </w:p>
        </w:tc>
        <w:tc>
          <w:tcPr>
            <w:tcW w:w="975" w:type="dxa"/>
            <w:noWrap/>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项目实施方案</w:t>
            </w:r>
          </w:p>
        </w:tc>
        <w:tc>
          <w:tcPr>
            <w:tcW w:w="783" w:type="dxa"/>
            <w:noWrap/>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w:t>
            </w:r>
          </w:p>
        </w:tc>
        <w:tc>
          <w:tcPr>
            <w:tcW w:w="6464" w:type="dxa"/>
            <w:noWrap/>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投标人服务方案</w:t>
            </w:r>
            <w:r>
              <w:rPr>
                <w:rFonts w:hint="eastAsia" w:asciiTheme="minorEastAsia" w:hAnsiTheme="minorEastAsia" w:eastAsiaTheme="minorEastAsia"/>
                <w:szCs w:val="21"/>
              </w:rPr>
              <w:t>中</w:t>
            </w:r>
            <w:r>
              <w:rPr>
                <w:rFonts w:asciiTheme="minorEastAsia" w:hAnsiTheme="minorEastAsia" w:eastAsiaTheme="minorEastAsia"/>
                <w:szCs w:val="21"/>
              </w:rPr>
              <w:t>项目实施技术方案： 1.方案贴合实际，针对性和可实施性很强，完全满足且优于用户需求的，得</w:t>
            </w:r>
            <w:r>
              <w:rPr>
                <w:rFonts w:hint="eastAsia" w:asciiTheme="minorEastAsia" w:hAnsiTheme="minorEastAsia" w:eastAsiaTheme="minorEastAsia"/>
                <w:szCs w:val="21"/>
              </w:rPr>
              <w:t>10</w:t>
            </w:r>
            <w:r>
              <w:rPr>
                <w:rFonts w:asciiTheme="minorEastAsia" w:hAnsiTheme="minorEastAsia" w:eastAsiaTheme="minorEastAsia"/>
                <w:szCs w:val="21"/>
              </w:rPr>
              <w:t>分。 2.方案比较贴合实际，针对性和可实施性比较强，完全满足用户需求的，得5分。 3.方案不符合实际，针对性和可实施性较弱，不完全满足用户需求的，得1分。 4.未提供方案，得0分。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vMerge w:val="continue"/>
            <w:noWrap/>
            <w:textDirection w:val="tbRlV"/>
            <w:vAlign w:val="center"/>
          </w:tcPr>
          <w:p>
            <w:pPr>
              <w:ind w:left="113" w:right="113"/>
              <w:jc w:val="center"/>
              <w:rPr>
                <w:rFonts w:asciiTheme="minorEastAsia" w:hAnsiTheme="minorEastAsia" w:eastAsiaTheme="minorEastAsia"/>
                <w:szCs w:val="21"/>
              </w:rPr>
            </w:pPr>
          </w:p>
        </w:tc>
        <w:tc>
          <w:tcPr>
            <w:tcW w:w="975" w:type="dxa"/>
            <w:noWrap/>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 xml:space="preserve">项目质量与验收方案 </w:t>
            </w:r>
          </w:p>
        </w:tc>
        <w:tc>
          <w:tcPr>
            <w:tcW w:w="783" w:type="dxa"/>
            <w:noWrap/>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w:t>
            </w:r>
          </w:p>
        </w:tc>
        <w:tc>
          <w:tcPr>
            <w:tcW w:w="6464" w:type="dxa"/>
            <w:noWrap/>
            <w:vAlign w:val="center"/>
          </w:tcPr>
          <w:p>
            <w:pPr>
              <w:spacing w:line="276" w:lineRule="auto"/>
              <w:rPr>
                <w:rFonts w:asciiTheme="minorEastAsia" w:hAnsiTheme="minorEastAsia" w:eastAsiaTheme="minorEastAsia"/>
                <w:szCs w:val="21"/>
              </w:rPr>
            </w:pPr>
            <w:r>
              <w:rPr>
                <w:rFonts w:asciiTheme="minorEastAsia" w:hAnsiTheme="minorEastAsia" w:eastAsiaTheme="minorEastAsia"/>
                <w:szCs w:val="21"/>
              </w:rPr>
              <w:t>投标人</w:t>
            </w:r>
            <w:r>
              <w:rPr>
                <w:rFonts w:hint="eastAsia" w:asciiTheme="minorEastAsia" w:hAnsiTheme="minorEastAsia" w:eastAsiaTheme="minorEastAsia"/>
                <w:szCs w:val="21"/>
              </w:rPr>
              <w:t>服务方案中</w:t>
            </w:r>
            <w:r>
              <w:rPr>
                <w:rFonts w:asciiTheme="minorEastAsia" w:hAnsiTheme="minorEastAsia" w:eastAsiaTheme="minorEastAsia"/>
                <w:szCs w:val="21"/>
              </w:rPr>
              <w:t>项目质量与验收方案： 1.服务方案贴合实际，针对性和可实施性很强，完全满足且优于用户需求的，得</w:t>
            </w:r>
            <w:r>
              <w:rPr>
                <w:rFonts w:hint="eastAsia" w:asciiTheme="minorEastAsia" w:hAnsiTheme="minorEastAsia" w:eastAsiaTheme="minorEastAsia"/>
                <w:szCs w:val="21"/>
              </w:rPr>
              <w:t>15</w:t>
            </w:r>
            <w:r>
              <w:rPr>
                <w:rFonts w:asciiTheme="minorEastAsia" w:hAnsiTheme="minorEastAsia" w:eastAsiaTheme="minorEastAsia"/>
                <w:szCs w:val="21"/>
              </w:rPr>
              <w:t>分。 2.服务方案比较贴合实际，针对性和可实施性比较强，完全满足用户需求的，得</w:t>
            </w:r>
            <w:r>
              <w:rPr>
                <w:rFonts w:hint="eastAsia" w:asciiTheme="minorEastAsia" w:hAnsiTheme="minorEastAsia" w:eastAsiaTheme="minorEastAsia"/>
                <w:szCs w:val="21"/>
              </w:rPr>
              <w:t>10</w:t>
            </w:r>
            <w:r>
              <w:rPr>
                <w:rFonts w:asciiTheme="minorEastAsia" w:hAnsiTheme="minorEastAsia" w:eastAsiaTheme="minorEastAsia"/>
                <w:szCs w:val="21"/>
              </w:rPr>
              <w:t>分。 3.服务方案不符合实际，针对性和可实施性较弱，不完全满足用户需求的，得</w:t>
            </w:r>
            <w:r>
              <w:rPr>
                <w:rFonts w:hint="eastAsia" w:asciiTheme="minorEastAsia" w:hAnsiTheme="minorEastAsia" w:eastAsiaTheme="minorEastAsia"/>
                <w:szCs w:val="21"/>
              </w:rPr>
              <w:t>5</w:t>
            </w:r>
            <w:r>
              <w:rPr>
                <w:rFonts w:asciiTheme="minorEastAsia" w:hAnsiTheme="minorEastAsia" w:eastAsiaTheme="minorEastAsia"/>
                <w:szCs w:val="21"/>
              </w:rPr>
              <w:t>分。 4.未提供方案，得0分。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restart"/>
            <w:noWrap/>
            <w:vAlign w:val="center"/>
          </w:tcPr>
          <w:p>
            <w:pPr>
              <w:ind w:left="113" w:leftChars="54" w:firstLine="525" w:firstLineChars="250"/>
              <w:rPr>
                <w:rFonts w:asciiTheme="minorEastAsia" w:hAnsiTheme="minorEastAsia" w:eastAsiaTheme="minorEastAsia"/>
                <w:szCs w:val="21"/>
              </w:rPr>
            </w:pPr>
            <w:r>
              <w:rPr>
                <w:rFonts w:hint="eastAsia" w:asciiTheme="minorEastAsia" w:hAnsiTheme="minorEastAsia" w:eastAsiaTheme="minorEastAsia"/>
                <w:szCs w:val="21"/>
              </w:rPr>
              <w:t>商商务因素</w:t>
            </w:r>
          </w:p>
        </w:tc>
        <w:tc>
          <w:tcPr>
            <w:tcW w:w="975" w:type="dxa"/>
            <w:noWrap/>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同类项目业绩</w:t>
            </w:r>
          </w:p>
        </w:tc>
        <w:tc>
          <w:tcPr>
            <w:tcW w:w="783"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6464" w:type="dxa"/>
            <w:noWrap/>
          </w:tcPr>
          <w:p>
            <w:pPr>
              <w:jc w:val="left"/>
              <w:rPr>
                <w:rFonts w:asciiTheme="minorEastAsia" w:hAnsiTheme="minorEastAsia" w:eastAsiaTheme="minorEastAsia"/>
                <w:szCs w:val="21"/>
              </w:rPr>
            </w:pPr>
            <w:r>
              <w:t>投标人提供自2020年1月1日（以合同签订时间为准）至今承担过同类标准化服务项目业绩，每提供一个项目业绩得5分。 本项最高得</w:t>
            </w:r>
            <w:r>
              <w:rPr>
                <w:rFonts w:hint="eastAsia"/>
              </w:rPr>
              <w:t>1</w:t>
            </w:r>
            <w:r>
              <w:t>0分；无不得分。 注：需提供完整的主要成果证明材料（成果证明材料须清晰体现投标人单位、工作内容等），并加盖公章。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75" w:type="dxa"/>
            <w:vMerge w:val="continue"/>
            <w:noWrap/>
            <w:textDirection w:val="tbRlV"/>
            <w:vAlign w:val="center"/>
          </w:tcPr>
          <w:p>
            <w:pPr>
              <w:ind w:left="113" w:right="113"/>
              <w:jc w:val="center"/>
              <w:rPr>
                <w:rFonts w:asciiTheme="minorEastAsia" w:hAnsiTheme="minorEastAsia" w:eastAsiaTheme="minorEastAsia"/>
                <w:color w:val="000000"/>
                <w:szCs w:val="21"/>
              </w:rPr>
            </w:pPr>
          </w:p>
        </w:tc>
        <w:tc>
          <w:tcPr>
            <w:tcW w:w="975" w:type="dxa"/>
            <w:noWrap/>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服务响应时间</w:t>
            </w:r>
          </w:p>
        </w:tc>
        <w:tc>
          <w:tcPr>
            <w:tcW w:w="783" w:type="dxa"/>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10</w:t>
            </w:r>
          </w:p>
        </w:tc>
        <w:tc>
          <w:tcPr>
            <w:tcW w:w="6464" w:type="dxa"/>
            <w:noWrap/>
          </w:tcPr>
          <w:p>
            <w:pPr>
              <w:jc w:val="left"/>
              <w:rPr>
                <w:rFonts w:asciiTheme="minorEastAsia" w:hAnsiTheme="minorEastAsia" w:eastAsiaTheme="minorEastAsia"/>
                <w:szCs w:val="21"/>
              </w:rPr>
            </w:pPr>
            <w:r>
              <w:t>投标人服务响应时间，到达采购人所在单位时间： 到达现场时间≤3小时，得5分； 3小时＜到达现场时间≤6小时，得3分； 6小时＜到达现场时间≤8小时，得1分； 其他到达时间，得0分。 备注：提供服务响应到达现场时间承诺函并加盖供应商公章，不提供不得分。</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8"/>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6"/>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1"/>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r>
              <w:rPr>
                <w:rFonts w:ascii="宋体" w:hAnsi="宋体" w:cs="宋体"/>
                <w:sz w:val="24"/>
              </w:rPr>
              <w:t>《农民数字素养》团体标准制定及发布</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项</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1</w:t>
            </w:r>
          </w:p>
        </w:tc>
      </w:tr>
    </w:tbl>
    <w:p>
      <w:pPr>
        <w:numPr>
          <w:ilvl w:val="0"/>
          <w:numId w:val="4"/>
        </w:numPr>
        <w:spacing w:line="560" w:lineRule="exact"/>
        <w:ind w:firstLine="562" w:firstLineChars="200"/>
        <w:rPr>
          <w:rFonts w:ascii="宋体" w:hAnsi="宋体"/>
          <w:b/>
          <w:bCs/>
          <w:kern w:val="0"/>
          <w:sz w:val="28"/>
          <w:szCs w:val="28"/>
        </w:rPr>
      </w:pPr>
      <w:r>
        <w:rPr>
          <w:rFonts w:hint="eastAsia" w:ascii="宋体" w:hAnsi="宋体"/>
          <w:b/>
          <w:bCs/>
          <w:kern w:val="0"/>
          <w:sz w:val="28"/>
          <w:szCs w:val="28"/>
        </w:rPr>
        <w:t>具体技术指标及性能要求：</w:t>
      </w:r>
    </w:p>
    <w:p>
      <w:pPr>
        <w:pStyle w:val="6"/>
        <w:ind w:firstLine="0"/>
      </w:pPr>
    </w:p>
    <w:p>
      <w:pPr>
        <w:spacing w:line="560" w:lineRule="exact"/>
        <w:ind w:firstLine="560" w:firstLineChars="200"/>
        <w:rPr>
          <w:rFonts w:ascii="宋体" w:hAnsi="宋体"/>
          <w:sz w:val="28"/>
          <w:szCs w:val="28"/>
        </w:rPr>
      </w:pPr>
      <w:r>
        <w:rPr>
          <w:rFonts w:hint="eastAsia" w:ascii="宋体" w:hAnsi="宋体"/>
          <w:sz w:val="28"/>
          <w:szCs w:val="28"/>
        </w:rPr>
        <w:t>①制订团体标准工作计划书，明确工作进度及分工。</w:t>
      </w:r>
    </w:p>
    <w:p>
      <w:pPr>
        <w:spacing w:line="560" w:lineRule="exact"/>
        <w:ind w:firstLine="560" w:firstLineChars="200"/>
        <w:rPr>
          <w:rFonts w:ascii="宋体" w:hAnsi="宋体"/>
          <w:sz w:val="28"/>
          <w:szCs w:val="28"/>
        </w:rPr>
      </w:pPr>
      <w:r>
        <w:rPr>
          <w:rFonts w:hint="eastAsia" w:ascii="宋体" w:hAnsi="宋体"/>
          <w:sz w:val="28"/>
          <w:szCs w:val="28"/>
        </w:rPr>
        <w:t>②组建标准编制工作组，建立工作群，对团体标准前期开展资料收集、论证、调研等工作。</w:t>
      </w:r>
    </w:p>
    <w:p>
      <w:pPr>
        <w:spacing w:line="560" w:lineRule="exact"/>
        <w:ind w:firstLine="560" w:firstLineChars="200"/>
        <w:rPr>
          <w:rFonts w:ascii="宋体" w:hAnsi="宋体"/>
          <w:sz w:val="28"/>
          <w:szCs w:val="28"/>
        </w:rPr>
      </w:pPr>
      <w:r>
        <w:rPr>
          <w:rFonts w:hint="eastAsia" w:ascii="宋体" w:hAnsi="宋体"/>
          <w:sz w:val="28"/>
          <w:szCs w:val="28"/>
        </w:rPr>
        <w:t>③组织团体标准立项事宜，协助做好团体标准立项申请书、标准编制工作组报名、跟踪立项进度等。</w:t>
      </w:r>
    </w:p>
    <w:p>
      <w:pPr>
        <w:spacing w:line="560" w:lineRule="exact"/>
        <w:ind w:firstLine="560" w:firstLineChars="200"/>
        <w:rPr>
          <w:rFonts w:ascii="宋体" w:hAnsi="宋体"/>
          <w:sz w:val="28"/>
          <w:szCs w:val="28"/>
        </w:rPr>
      </w:pPr>
      <w:r>
        <w:rPr>
          <w:rFonts w:hint="eastAsia" w:ascii="宋体" w:hAnsi="宋体"/>
          <w:sz w:val="28"/>
          <w:szCs w:val="28"/>
        </w:rPr>
        <w:t>④组织编制工作组讨论完善团体标准草案，根据甲方需求召开技术研讨会。</w:t>
      </w:r>
    </w:p>
    <w:p>
      <w:pPr>
        <w:spacing w:line="560" w:lineRule="exact"/>
        <w:ind w:firstLine="560" w:firstLineChars="200"/>
        <w:rPr>
          <w:rFonts w:ascii="宋体" w:hAnsi="宋体"/>
          <w:sz w:val="28"/>
          <w:szCs w:val="28"/>
        </w:rPr>
      </w:pPr>
      <w:r>
        <w:rPr>
          <w:rFonts w:hint="eastAsia" w:ascii="宋体" w:hAnsi="宋体"/>
          <w:sz w:val="28"/>
          <w:szCs w:val="28"/>
        </w:rPr>
        <w:t>⑤编制团体标准征求意见稿、编制说明，公开征集意见并汇总整理。</w:t>
      </w:r>
    </w:p>
    <w:p>
      <w:pPr>
        <w:spacing w:line="560" w:lineRule="exact"/>
        <w:ind w:firstLine="560" w:firstLineChars="200"/>
        <w:rPr>
          <w:rFonts w:ascii="宋体" w:hAnsi="宋体"/>
          <w:sz w:val="28"/>
          <w:szCs w:val="28"/>
        </w:rPr>
      </w:pPr>
      <w:r>
        <w:rPr>
          <w:rFonts w:hint="eastAsia" w:ascii="宋体" w:hAnsi="宋体"/>
          <w:sz w:val="28"/>
          <w:szCs w:val="28"/>
        </w:rPr>
        <w:t>⑥修改标准文本并形成标准送审稿。</w:t>
      </w:r>
    </w:p>
    <w:p>
      <w:pPr>
        <w:spacing w:line="560" w:lineRule="exact"/>
        <w:ind w:firstLine="560" w:firstLineChars="200"/>
        <w:rPr>
          <w:rFonts w:ascii="宋体" w:hAnsi="宋体"/>
          <w:sz w:val="28"/>
          <w:szCs w:val="28"/>
        </w:rPr>
      </w:pPr>
      <w:r>
        <w:rPr>
          <w:rFonts w:hint="eastAsia" w:ascii="宋体" w:hAnsi="宋体"/>
          <w:sz w:val="28"/>
          <w:szCs w:val="28"/>
        </w:rPr>
        <w:t>⑦依据《团体标准管理规定》要求，组织召开团体标准技术审查会，邀请5～7名标准化专家和行业专家，专家组负责对团体标准送审稿进行技术审查，并出具审查结论。</w:t>
      </w:r>
    </w:p>
    <w:p>
      <w:pPr>
        <w:spacing w:line="560" w:lineRule="exact"/>
        <w:ind w:firstLine="560" w:firstLineChars="200"/>
        <w:rPr>
          <w:rFonts w:ascii="宋体" w:hAnsi="宋体"/>
          <w:sz w:val="28"/>
          <w:szCs w:val="28"/>
        </w:rPr>
      </w:pPr>
      <w:r>
        <w:rPr>
          <w:rFonts w:hint="eastAsia" w:ascii="宋体" w:hAnsi="宋体"/>
          <w:sz w:val="28"/>
          <w:szCs w:val="28"/>
        </w:rPr>
        <w:t>⑧团体标准通过专家组审定后，根据GB/T 1.1《标准化工作导则第1部分：标准化文件的结构和起草规则》对团标格式进行终审并由广东省市场监督管理局下属协会上报国标委全国团体标准信息网平台发布。</w:t>
      </w:r>
    </w:p>
    <w:p>
      <w:pPr>
        <w:spacing w:line="560" w:lineRule="exact"/>
        <w:ind w:firstLine="560" w:firstLineChars="200"/>
        <w:rPr>
          <w:rFonts w:ascii="宋体" w:hAnsi="宋体"/>
          <w:sz w:val="28"/>
          <w:szCs w:val="28"/>
        </w:rPr>
      </w:pPr>
      <w:r>
        <w:rPr>
          <w:rFonts w:hint="eastAsia" w:ascii="宋体" w:hAnsi="宋体"/>
          <w:sz w:val="28"/>
          <w:szCs w:val="28"/>
        </w:rPr>
        <w:t>⑨及时处理团体标准制订发布过程出现的问题。</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”的为“实质性响应指标”。“实质性响应指标”不允许“负偏离”，否则报价无效；“非实质性响应指标”允许“负偏离”，但不能超出偏离范围，否则报价无效</w:t>
      </w:r>
    </w:p>
    <w:p>
      <w:pPr>
        <w:pStyle w:val="3"/>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自合同签订之日起45个工作日内完成交货，确保正常发布可用。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交付地点：广东财经大学广州校区。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(二)研讨与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本项目采购内容包括《农民数字素养》团体标准</w:t>
      </w:r>
      <w:r>
        <w:rPr>
          <w:rFonts w:hint="eastAsia" w:ascii="宋体" w:hAnsi="宋体"/>
          <w:sz w:val="28"/>
          <w:szCs w:val="28"/>
          <w:lang w:val="en-US" w:eastAsia="zh-CN"/>
        </w:rPr>
        <w:t>的</w:t>
      </w:r>
      <w:r>
        <w:rPr>
          <w:rFonts w:hint="eastAsia" w:ascii="宋体" w:hAnsi="宋体"/>
          <w:sz w:val="28"/>
          <w:szCs w:val="28"/>
        </w:rPr>
        <w:t>研讨</w:t>
      </w:r>
      <w:r>
        <w:rPr>
          <w:rFonts w:hint="eastAsia" w:ascii="宋体" w:hAnsi="宋体"/>
          <w:sz w:val="28"/>
          <w:szCs w:val="28"/>
          <w:lang w:eastAsia="zh-CN"/>
        </w:rPr>
        <w:t>、</w:t>
      </w:r>
      <w:r>
        <w:rPr>
          <w:rFonts w:hint="eastAsia" w:ascii="宋体" w:hAnsi="宋体"/>
          <w:sz w:val="28"/>
          <w:szCs w:val="28"/>
        </w:rPr>
        <w:t>培训</w:t>
      </w:r>
      <w:r>
        <w:rPr>
          <w:rFonts w:hint="eastAsia" w:ascii="宋体" w:hAnsi="宋体"/>
          <w:sz w:val="28"/>
          <w:szCs w:val="28"/>
          <w:lang w:val="en-US" w:eastAsia="zh-CN"/>
        </w:rPr>
        <w:t>和发布</w:t>
      </w:r>
      <w:r>
        <w:rPr>
          <w:rFonts w:hint="eastAsia" w:ascii="宋体" w:hAnsi="宋体" w:cs="宋体"/>
          <w:sz w:val="28"/>
          <w:szCs w:val="28"/>
        </w:rPr>
        <w:t>。</w:t>
      </w:r>
    </w:p>
    <w:p>
      <w:pPr>
        <w:numPr>
          <w:ilvl w:val="0"/>
          <w:numId w:val="5"/>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四</w:t>
      </w:r>
      <w:r>
        <w:rPr>
          <w:rFonts w:hint="eastAsia" w:ascii="宋体" w:hAnsi="宋体"/>
          <w:b/>
          <w:sz w:val="28"/>
          <w:szCs w:val="28"/>
        </w:rPr>
        <w:t>）服务要求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服务响应速度在1小时之内,并在24小时内解决故障。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五</w:t>
      </w:r>
      <w:r>
        <w:rPr>
          <w:rFonts w:hint="eastAsia" w:ascii="宋体" w:hAnsi="宋体"/>
          <w:b/>
          <w:sz w:val="28"/>
          <w:szCs w:val="28"/>
        </w:rPr>
        <w:t>）结算与付款方式</w:t>
      </w:r>
    </w:p>
    <w:p>
      <w:pPr>
        <w:spacing w:line="560" w:lineRule="exact"/>
        <w:ind w:firstLine="638" w:firstLineChars="228"/>
        <w:rPr>
          <w:rFonts w:ascii="宋体" w:hAnsi="宋体"/>
          <w:sz w:val="28"/>
          <w:szCs w:val="28"/>
        </w:rPr>
      </w:pPr>
      <w:r>
        <w:rPr>
          <w:rFonts w:hint="eastAsia" w:ascii="宋体" w:hAnsi="宋体"/>
          <w:sz w:val="28"/>
          <w:szCs w:val="28"/>
        </w:rPr>
        <w:t>合同生效日内，采购人凭中标人提供的正式发票，支付合同金额的50%；完成编制团体标准制订并发布，验收通过后，采购人凭中标人提供的正式发票，支付合同剩余金额的50%。如遇寒暑假，自动顺延。</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六</w:t>
      </w:r>
      <w:r>
        <w:rPr>
          <w:rFonts w:hint="eastAsia" w:ascii="宋体" w:hAnsi="宋体"/>
          <w:b/>
          <w:sz w:val="28"/>
          <w:szCs w:val="28"/>
        </w:rPr>
        <w:t>）违约处罚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(1)签订本协议后，不得在合同期内单方面终止协议，否则须赔偿采购单位壹万元违约金；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(1)采购单位违反合同规定拒绝接受服务的，应当承担由此对成交人造成的损失；</w:t>
      </w:r>
    </w:p>
    <w:p>
      <w:pPr>
        <w:adjustRightInd w:val="0"/>
        <w:snapToGrid w:val="0"/>
        <w:spacing w:line="560" w:lineRule="exact"/>
        <w:ind w:firstLine="638" w:firstLineChars="228"/>
      </w:pPr>
      <w:r>
        <w:rPr>
          <w:rFonts w:hint="eastAsia" w:ascii="宋体" w:hAnsi="宋体"/>
          <w:sz w:val="28"/>
          <w:szCs w:val="28"/>
        </w:rPr>
        <w:t>(2)其它违约责任按《中华人民共和国民法典》处理。</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七</w:t>
      </w:r>
      <w:r>
        <w:rPr>
          <w:rFonts w:hint="eastAsia" w:ascii="宋体" w:hAnsi="宋体"/>
          <w:b/>
          <w:sz w:val="28"/>
          <w:szCs w:val="28"/>
        </w:rPr>
        <w:t>）其他要求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spacing w:line="560" w:lineRule="exact"/>
        <w:ind w:firstLine="638" w:firstLineChars="228"/>
        <w:rPr>
          <w:rFonts w:ascii="宋体" w:hAnsi="宋体"/>
          <w:sz w:val="28"/>
          <w:szCs w:val="28"/>
        </w:rPr>
      </w:pPr>
      <w:r>
        <w:rPr>
          <w:rFonts w:hint="eastAsia" w:ascii="宋体" w:hAnsi="宋体"/>
          <w:sz w:val="28"/>
          <w:szCs w:val="28"/>
        </w:rPr>
        <w:t>1、采购方在履行合同过程中提供给成交人使用保管的全部图纸、文件和其他含有数据和信息的资料，其知识产权属于采购方。</w:t>
      </w:r>
    </w:p>
    <w:p>
      <w:pPr>
        <w:spacing w:line="560" w:lineRule="exact"/>
        <w:ind w:firstLine="638" w:firstLineChars="228"/>
        <w:rPr>
          <w:rFonts w:ascii="宋体" w:hAnsi="宋体"/>
          <w:sz w:val="28"/>
          <w:szCs w:val="28"/>
        </w:rPr>
      </w:pPr>
      <w:r>
        <w:rPr>
          <w:rFonts w:hint="eastAsia" w:ascii="宋体" w:hAnsi="宋体"/>
          <w:sz w:val="28"/>
          <w:szCs w:val="28"/>
        </w:rPr>
        <w:t>2、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spacing w:line="560" w:lineRule="exact"/>
        <w:ind w:firstLine="638" w:firstLineChars="228"/>
        <w:rPr>
          <w:rFonts w:ascii="宋体" w:hAnsi="宋体"/>
          <w:sz w:val="28"/>
          <w:szCs w:val="28"/>
        </w:rPr>
      </w:pPr>
      <w:r>
        <w:rPr>
          <w:rFonts w:hint="eastAsia" w:ascii="宋体" w:hAnsi="宋体"/>
          <w:sz w:val="28"/>
          <w:szCs w:val="28"/>
        </w:rPr>
        <w:t>3、如果采购方收到任何第三方有关知识产权、专利权、软件著作权等的主张、索赔或诉讼，成交人在收到采购方通知后，应当自负费用处理与第三方的索赔或诉讼，并赔偿采购方因此发生的费用和遭受的损失。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w:t>
      </w:r>
      <w:r>
        <w:rPr>
          <w:rFonts w:hint="eastAsia" w:ascii="宋体" w:hAnsi="宋体"/>
          <w:b/>
          <w:bCs/>
          <w:sz w:val="28"/>
          <w:szCs w:val="28"/>
          <w:lang w:val="en-US" w:eastAsia="zh-CN"/>
        </w:rPr>
        <w:t>八</w:t>
      </w:r>
      <w:r>
        <w:rPr>
          <w:rFonts w:hint="eastAsia" w:ascii="宋体" w:hAnsi="宋体"/>
          <w:b/>
          <w:bCs/>
          <w:sz w:val="28"/>
          <w:szCs w:val="28"/>
        </w:rPr>
        <w:t>）争议解决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4"/>
        <w:rPr>
          <w:rFonts w:ascii="Calibri" w:hAnsi="Calibri"/>
          <w:b/>
          <w:sz w:val="32"/>
          <w:szCs w:val="32"/>
        </w:rPr>
      </w:pPr>
    </w:p>
    <w:p>
      <w:pPr>
        <w:pStyle w:val="14"/>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pStyle w:val="14"/>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4"/>
        <w:spacing w:line="480" w:lineRule="exact"/>
        <w:rPr>
          <w:rFonts w:hAnsi="宋体"/>
          <w:sz w:val="28"/>
          <w:szCs w:val="28"/>
        </w:rPr>
      </w:pPr>
      <w:r>
        <w:rPr>
          <w:rFonts w:hint="eastAsia" w:hAnsi="宋体"/>
          <w:sz w:val="28"/>
          <w:szCs w:val="28"/>
        </w:rPr>
        <w:t>注：</w:t>
      </w:r>
    </w:p>
    <w:p>
      <w:pPr>
        <w:pStyle w:val="14"/>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4"/>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4"/>
        <w:numPr>
          <w:ilvl w:val="0"/>
          <w:numId w:val="8"/>
        </w:numPr>
        <w:spacing w:line="0" w:lineRule="atLeast"/>
        <w:rPr>
          <w:rFonts w:hAnsi="宋体"/>
          <w:sz w:val="28"/>
          <w:szCs w:val="28"/>
        </w:rPr>
      </w:pPr>
      <w:r>
        <w:rPr>
          <w:rFonts w:hint="eastAsia"/>
          <w:sz w:val="28"/>
          <w:szCs w:val="28"/>
        </w:rPr>
        <w:t>填写此表时不得改变表格的形式。</w:t>
      </w:r>
    </w:p>
    <w:p>
      <w:pPr>
        <w:pStyle w:val="14"/>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156"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4"/>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4"/>
        <w:jc w:val="left"/>
        <w:rPr>
          <w:rFonts w:ascii="Times New Roman" w:hAnsi="Times New Roman"/>
          <w:szCs w:val="21"/>
        </w:rPr>
      </w:pPr>
    </w:p>
    <w:tbl>
      <w:tblPr>
        <w:tblStyle w:val="28"/>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4"/>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4"/>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4"/>
              <w:jc w:val="left"/>
              <w:rPr>
                <w:rFonts w:hAnsi="宋体"/>
                <w:b/>
                <w:kern w:val="2"/>
                <w:sz w:val="24"/>
              </w:rPr>
            </w:pPr>
            <w:r>
              <w:rPr>
                <w:rFonts w:hint="eastAsia" w:hAnsi="宋体"/>
                <w:b/>
                <w:kern w:val="2"/>
                <w:sz w:val="24"/>
              </w:rPr>
              <w:t xml:space="preserve"> 人民币：</w:t>
            </w:r>
          </w:p>
        </w:tc>
      </w:tr>
    </w:tbl>
    <w:p>
      <w:pPr>
        <w:pStyle w:val="14"/>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4"/>
        <w:spacing w:line="0" w:lineRule="atLeast"/>
        <w:ind w:left="336"/>
        <w:rPr>
          <w:rFonts w:hAnsi="宋体"/>
          <w:sz w:val="28"/>
          <w:szCs w:val="28"/>
        </w:rPr>
      </w:pPr>
      <w:r>
        <w:rPr>
          <w:rFonts w:hint="eastAsia" w:hAnsi="宋体"/>
          <w:sz w:val="28"/>
          <w:szCs w:val="28"/>
        </w:rPr>
        <w:t>2、本表“报价总价”必须与《报价一览表》中的“报价总价”一致。</w:t>
      </w:r>
    </w:p>
    <w:p>
      <w:pPr>
        <w:pStyle w:val="14"/>
        <w:spacing w:line="0" w:lineRule="atLeast"/>
        <w:ind w:left="336"/>
        <w:rPr>
          <w:rFonts w:hAnsi="宋体"/>
          <w:sz w:val="28"/>
          <w:szCs w:val="28"/>
        </w:rPr>
      </w:pPr>
      <w:r>
        <w:rPr>
          <w:rFonts w:hint="eastAsia" w:hAnsi="宋体"/>
          <w:sz w:val="28"/>
          <w:szCs w:val="28"/>
        </w:rPr>
        <w:t>3、对于报价免费的项目必须标明“免费”。</w:t>
      </w:r>
    </w:p>
    <w:p>
      <w:pPr>
        <w:pStyle w:val="14"/>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4"/>
        <w:jc w:val="left"/>
        <w:rPr>
          <w:rFonts w:ascii="Times New Roman" w:hAnsi="Times New Roman"/>
          <w:szCs w:val="21"/>
        </w:rPr>
      </w:pPr>
    </w:p>
    <w:p>
      <w:pPr>
        <w:pStyle w:val="14"/>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156"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8"/>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342344-FC8D-4626-B77C-DFA817A71F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774547-1E9A-400D-A2B1-209BC20225BA}"/>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7D327D73-84A3-444B-BBF0-0AB9BBFEFAFB}"/>
  </w:font>
  <w:font w:name="楷体_GB2312">
    <w:panose1 w:val="02010609030101010101"/>
    <w:charset w:val="86"/>
    <w:family w:val="modern"/>
    <w:pitch w:val="default"/>
    <w:sig w:usb0="00000001" w:usb1="080E0000" w:usb2="00000000" w:usb3="00000000" w:csb0="00040000" w:csb1="00000000"/>
    <w:embedRegular r:id="rId4" w:fontKey="{C663E1E9-D1ED-4293-9C5D-BA1C6BCA6CDF}"/>
  </w:font>
  <w:font w:name="楷体">
    <w:panose1 w:val="02010609060101010101"/>
    <w:charset w:val="86"/>
    <w:family w:val="modern"/>
    <w:pitch w:val="default"/>
    <w:sig w:usb0="800002BF" w:usb1="38CF7CFA" w:usb2="00000016" w:usb3="00000000" w:csb0="00040001" w:csb1="00000000"/>
    <w:embedRegular r:id="rId5" w:fontKey="{84BD8DB2-8016-448E-ACDF-0674C29B6E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u w:val="single"/>
      </w:rPr>
    </w:pP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B103DA9E"/>
    <w:multiLevelType w:val="singleLevel"/>
    <w:tmpl w:val="B103DA9E"/>
    <w:lvl w:ilvl="0" w:tentative="0">
      <w:start w:val="3"/>
      <w:numFmt w:val="chineseCounting"/>
      <w:suff w:val="nothing"/>
      <w:lvlText w:val="（%1）"/>
      <w:lvlJc w:val="left"/>
      <w:rPr>
        <w:rFonts w:hint="eastAsia"/>
      </w:rPr>
    </w:lvl>
  </w:abstractNum>
  <w:abstractNum w:abstractNumId="2">
    <w:nsid w:val="DF5818B8"/>
    <w:multiLevelType w:val="singleLevel"/>
    <w:tmpl w:val="DF5818B8"/>
    <w:lvl w:ilvl="0" w:tentative="0">
      <w:start w:val="2"/>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4"/>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1MGJmNTQ2YjM2ZjEzODljNjgwYmVjZTVkNTkyMWM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151B"/>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1F20"/>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21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3B"/>
    <w:rsid w:val="00B92192"/>
    <w:rsid w:val="00B92317"/>
    <w:rsid w:val="00B93755"/>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5C93"/>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9033675"/>
    <w:rsid w:val="0A2F4D76"/>
    <w:rsid w:val="0A414FB6"/>
    <w:rsid w:val="0B567D09"/>
    <w:rsid w:val="0B6C5CE7"/>
    <w:rsid w:val="0BEE41F8"/>
    <w:rsid w:val="0D0015C5"/>
    <w:rsid w:val="0D5B0159"/>
    <w:rsid w:val="0E6949B3"/>
    <w:rsid w:val="0F666038"/>
    <w:rsid w:val="0FB03EC1"/>
    <w:rsid w:val="0FEF4AD0"/>
    <w:rsid w:val="1079676E"/>
    <w:rsid w:val="11FA2096"/>
    <w:rsid w:val="12254861"/>
    <w:rsid w:val="12B4052F"/>
    <w:rsid w:val="12EC524A"/>
    <w:rsid w:val="13071F04"/>
    <w:rsid w:val="13C52591"/>
    <w:rsid w:val="14A66120"/>
    <w:rsid w:val="14E23522"/>
    <w:rsid w:val="168532DC"/>
    <w:rsid w:val="173373DC"/>
    <w:rsid w:val="1753107A"/>
    <w:rsid w:val="18DC1D83"/>
    <w:rsid w:val="18DD33E1"/>
    <w:rsid w:val="18EE0C00"/>
    <w:rsid w:val="18F65DD9"/>
    <w:rsid w:val="1AE42B15"/>
    <w:rsid w:val="20BC39CA"/>
    <w:rsid w:val="213E5304"/>
    <w:rsid w:val="21E00F42"/>
    <w:rsid w:val="23C3307B"/>
    <w:rsid w:val="23E0270B"/>
    <w:rsid w:val="245F6E0F"/>
    <w:rsid w:val="24905418"/>
    <w:rsid w:val="263B5217"/>
    <w:rsid w:val="27192484"/>
    <w:rsid w:val="27C423D8"/>
    <w:rsid w:val="28E13EA5"/>
    <w:rsid w:val="291150CE"/>
    <w:rsid w:val="2AB8467E"/>
    <w:rsid w:val="2BF10217"/>
    <w:rsid w:val="2E2429AD"/>
    <w:rsid w:val="2E7F096C"/>
    <w:rsid w:val="2E950643"/>
    <w:rsid w:val="2EE571B2"/>
    <w:rsid w:val="2FDE227D"/>
    <w:rsid w:val="300E29BD"/>
    <w:rsid w:val="305B2BFC"/>
    <w:rsid w:val="311763F2"/>
    <w:rsid w:val="3237724D"/>
    <w:rsid w:val="32C61B83"/>
    <w:rsid w:val="344B05CF"/>
    <w:rsid w:val="34683033"/>
    <w:rsid w:val="350F27C8"/>
    <w:rsid w:val="35B77661"/>
    <w:rsid w:val="36583023"/>
    <w:rsid w:val="3713274F"/>
    <w:rsid w:val="376027F7"/>
    <w:rsid w:val="38CB5299"/>
    <w:rsid w:val="39A6093D"/>
    <w:rsid w:val="3AD13AD5"/>
    <w:rsid w:val="3BF75747"/>
    <w:rsid w:val="3C2852CC"/>
    <w:rsid w:val="3D832EB5"/>
    <w:rsid w:val="3E5A3093"/>
    <w:rsid w:val="3EB43B95"/>
    <w:rsid w:val="3F0535D6"/>
    <w:rsid w:val="401A05CF"/>
    <w:rsid w:val="40652603"/>
    <w:rsid w:val="40D13D95"/>
    <w:rsid w:val="42532A81"/>
    <w:rsid w:val="42966345"/>
    <w:rsid w:val="442F0A64"/>
    <w:rsid w:val="44FE771E"/>
    <w:rsid w:val="453D2E2E"/>
    <w:rsid w:val="455B5F6E"/>
    <w:rsid w:val="459A78CD"/>
    <w:rsid w:val="4678338B"/>
    <w:rsid w:val="476B2D91"/>
    <w:rsid w:val="47AE6D07"/>
    <w:rsid w:val="48833F13"/>
    <w:rsid w:val="488364F8"/>
    <w:rsid w:val="4ADD6003"/>
    <w:rsid w:val="4BEB2A35"/>
    <w:rsid w:val="4C9204F0"/>
    <w:rsid w:val="4DBA5FA6"/>
    <w:rsid w:val="4DD5065C"/>
    <w:rsid w:val="4E323FA5"/>
    <w:rsid w:val="507A5425"/>
    <w:rsid w:val="50C30629"/>
    <w:rsid w:val="51577DD1"/>
    <w:rsid w:val="51AB09AF"/>
    <w:rsid w:val="520732F2"/>
    <w:rsid w:val="531269D1"/>
    <w:rsid w:val="54B4589B"/>
    <w:rsid w:val="559612BE"/>
    <w:rsid w:val="55B90436"/>
    <w:rsid w:val="57231595"/>
    <w:rsid w:val="57434CFA"/>
    <w:rsid w:val="591402E2"/>
    <w:rsid w:val="5A165665"/>
    <w:rsid w:val="5A965CB3"/>
    <w:rsid w:val="5C097FBF"/>
    <w:rsid w:val="5C837B0E"/>
    <w:rsid w:val="5CFE645C"/>
    <w:rsid w:val="5D901B4E"/>
    <w:rsid w:val="5DCB7EB6"/>
    <w:rsid w:val="5EAA01B7"/>
    <w:rsid w:val="5EB743B6"/>
    <w:rsid w:val="5F924601"/>
    <w:rsid w:val="6194517C"/>
    <w:rsid w:val="62437726"/>
    <w:rsid w:val="628F0A4F"/>
    <w:rsid w:val="6296560A"/>
    <w:rsid w:val="62D60C04"/>
    <w:rsid w:val="62DB6DB3"/>
    <w:rsid w:val="63065FF8"/>
    <w:rsid w:val="63550335"/>
    <w:rsid w:val="64A51813"/>
    <w:rsid w:val="64D23D3E"/>
    <w:rsid w:val="661E385B"/>
    <w:rsid w:val="671B3414"/>
    <w:rsid w:val="679A6EE7"/>
    <w:rsid w:val="68742FE5"/>
    <w:rsid w:val="697C1D6F"/>
    <w:rsid w:val="6A80153E"/>
    <w:rsid w:val="6AC90DF4"/>
    <w:rsid w:val="6F002D66"/>
    <w:rsid w:val="6F3815B3"/>
    <w:rsid w:val="6F544E68"/>
    <w:rsid w:val="70543F68"/>
    <w:rsid w:val="705D6272"/>
    <w:rsid w:val="719242C5"/>
    <w:rsid w:val="72B62304"/>
    <w:rsid w:val="72B92213"/>
    <w:rsid w:val="742D0AEA"/>
    <w:rsid w:val="744C6447"/>
    <w:rsid w:val="750157C1"/>
    <w:rsid w:val="766B6439"/>
    <w:rsid w:val="77D90508"/>
    <w:rsid w:val="77F228DE"/>
    <w:rsid w:val="786C17B3"/>
    <w:rsid w:val="78851ED1"/>
    <w:rsid w:val="794C4906"/>
    <w:rsid w:val="79C61CFF"/>
    <w:rsid w:val="7A247C3B"/>
    <w:rsid w:val="7B9B538D"/>
    <w:rsid w:val="7BB55845"/>
    <w:rsid w:val="7C7D1A8F"/>
    <w:rsid w:val="7D4F3F92"/>
    <w:rsid w:val="7DBD7DE5"/>
    <w:rsid w:val="7E5F2466"/>
    <w:rsid w:val="7E740121"/>
    <w:rsid w:val="7F955E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line="720" w:lineRule="exact"/>
      <w:jc w:val="center"/>
      <w:outlineLvl w:val="0"/>
    </w:pPr>
    <w:rPr>
      <w:b/>
      <w:bCs/>
      <w:kern w:val="44"/>
      <w:sz w:val="44"/>
      <w:szCs w:val="44"/>
    </w:rPr>
  </w:style>
  <w:style w:type="paragraph" w:styleId="3">
    <w:name w:val="heading 2"/>
    <w:basedOn w:val="1"/>
    <w:next w:val="1"/>
    <w:link w:val="48"/>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2"/>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7"/>
    <w:qFormat/>
    <w:uiPriority w:val="9"/>
    <w:pPr>
      <w:keepNext/>
      <w:keepLines/>
      <w:spacing w:before="280" w:after="290" w:line="376" w:lineRule="auto"/>
      <w:outlineLvl w:val="3"/>
    </w:pPr>
    <w:rPr>
      <w:rFonts w:ascii="Cambria" w:hAnsi="Cambria"/>
      <w:b/>
      <w:bCs/>
      <w:kern w:val="0"/>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7"/>
    <w:qFormat/>
    <w:uiPriority w:val="0"/>
    <w:pPr>
      <w:ind w:firstLine="420"/>
    </w:pPr>
    <w:rPr>
      <w:rFonts w:ascii="Calibri" w:hAnsi="Calibri"/>
      <w:kern w:val="0"/>
      <w:sz w:val="20"/>
      <w:szCs w:val="20"/>
    </w:rPr>
  </w:style>
  <w:style w:type="paragraph" w:styleId="7">
    <w:name w:val="Document Map"/>
    <w:basedOn w:val="1"/>
    <w:link w:val="62"/>
    <w:semiHidden/>
    <w:qFormat/>
    <w:uiPriority w:val="0"/>
    <w:pPr>
      <w:shd w:val="clear" w:color="auto" w:fill="000080"/>
    </w:pPr>
    <w:rPr>
      <w:kern w:val="0"/>
      <w:sz w:val="20"/>
    </w:rPr>
  </w:style>
  <w:style w:type="paragraph" w:styleId="8">
    <w:name w:val="annotation text"/>
    <w:basedOn w:val="1"/>
    <w:next w:val="9"/>
    <w:link w:val="65"/>
    <w:qFormat/>
    <w:uiPriority w:val="0"/>
    <w:pPr>
      <w:spacing w:line="280" w:lineRule="exact"/>
      <w:jc w:val="left"/>
    </w:pPr>
    <w:rPr>
      <w:sz w:val="24"/>
    </w:rPr>
  </w:style>
  <w:style w:type="paragraph" w:styleId="9">
    <w:name w:val="Balloon Text"/>
    <w:basedOn w:val="1"/>
    <w:link w:val="41"/>
    <w:semiHidden/>
    <w:qFormat/>
    <w:uiPriority w:val="0"/>
    <w:pPr>
      <w:adjustRightInd w:val="0"/>
      <w:snapToGrid w:val="0"/>
    </w:pPr>
    <w:rPr>
      <w:sz w:val="28"/>
      <w:szCs w:val="18"/>
    </w:rPr>
  </w:style>
  <w:style w:type="paragraph" w:styleId="10">
    <w:name w:val="Body Text"/>
    <w:basedOn w:val="1"/>
    <w:next w:val="1"/>
    <w:qFormat/>
    <w:uiPriority w:val="0"/>
    <w:pPr>
      <w:spacing w:after="120"/>
    </w:pPr>
  </w:style>
  <w:style w:type="paragraph" w:styleId="11">
    <w:name w:val="Body Text Indent"/>
    <w:basedOn w:val="1"/>
    <w:link w:val="55"/>
    <w:qFormat/>
    <w:uiPriority w:val="0"/>
    <w:pPr>
      <w:ind w:firstLine="570"/>
    </w:pPr>
    <w:rPr>
      <w:rFonts w:ascii="宋体" w:hAnsi="宋体"/>
      <w:kern w:val="0"/>
      <w:sz w:val="24"/>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ascii="宋体" w:hAnsi="Courier New"/>
      <w:kern w:val="0"/>
      <w:sz w:val="20"/>
    </w:rPr>
  </w:style>
  <w:style w:type="paragraph" w:styleId="15">
    <w:name w:val="Date"/>
    <w:basedOn w:val="1"/>
    <w:next w:val="1"/>
    <w:link w:val="39"/>
    <w:qFormat/>
    <w:uiPriority w:val="0"/>
    <w:pPr>
      <w:ind w:left="100" w:leftChars="2500"/>
    </w:pPr>
    <w:rPr>
      <w:kern w:val="0"/>
      <w:sz w:val="28"/>
    </w:rPr>
  </w:style>
  <w:style w:type="paragraph" w:styleId="16">
    <w:name w:val="Body Text Indent 2"/>
    <w:basedOn w:val="1"/>
    <w:link w:val="60"/>
    <w:qFormat/>
    <w:uiPriority w:val="0"/>
    <w:pPr>
      <w:spacing w:line="300" w:lineRule="auto"/>
      <w:ind w:firstLine="540" w:firstLineChars="225"/>
    </w:pPr>
    <w:rPr>
      <w:rFonts w:ascii="宋体" w:hAnsi="宋体"/>
      <w:color w:val="000000"/>
      <w:kern w:val="0"/>
      <w:sz w:val="24"/>
    </w:rPr>
  </w:style>
  <w:style w:type="paragraph" w:styleId="17">
    <w:name w:val="footer"/>
    <w:basedOn w:val="1"/>
    <w:link w:val="56"/>
    <w:qFormat/>
    <w:uiPriority w:val="0"/>
    <w:pPr>
      <w:tabs>
        <w:tab w:val="center" w:pos="4153"/>
        <w:tab w:val="right" w:pos="8306"/>
      </w:tabs>
      <w:snapToGrid w:val="0"/>
      <w:jc w:val="left"/>
    </w:pPr>
    <w:rPr>
      <w:kern w:val="0"/>
      <w:sz w:val="18"/>
      <w:szCs w:val="18"/>
    </w:rPr>
  </w:style>
  <w:style w:type="paragraph" w:styleId="18">
    <w:name w:val="header"/>
    <w:basedOn w:val="1"/>
    <w:link w:val="5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9">
    <w:name w:val="toc 1"/>
    <w:basedOn w:val="1"/>
    <w:next w:val="1"/>
    <w:qFormat/>
    <w:uiPriority w:val="39"/>
  </w:style>
  <w:style w:type="paragraph" w:styleId="20">
    <w:name w:val="index heading"/>
    <w:basedOn w:val="1"/>
    <w:next w:val="21"/>
    <w:semiHidden/>
    <w:qFormat/>
    <w:uiPriority w:val="0"/>
    <w:rPr>
      <w:szCs w:val="20"/>
    </w:rPr>
  </w:style>
  <w:style w:type="paragraph" w:styleId="21">
    <w:name w:val="index 1"/>
    <w:basedOn w:val="1"/>
    <w:next w:val="1"/>
    <w:semiHidden/>
    <w:qFormat/>
    <w:uiPriority w:val="0"/>
  </w:style>
  <w:style w:type="paragraph" w:styleId="22">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23">
    <w:name w:val="footnote text"/>
    <w:basedOn w:val="1"/>
    <w:link w:val="40"/>
    <w:qFormat/>
    <w:uiPriority w:val="0"/>
    <w:pPr>
      <w:snapToGrid w:val="0"/>
      <w:jc w:val="left"/>
    </w:pPr>
    <w:rPr>
      <w:kern w:val="0"/>
      <w:sz w:val="18"/>
      <w:szCs w:val="18"/>
    </w:rPr>
  </w:style>
  <w:style w:type="paragraph" w:styleId="24">
    <w:name w:val="Body Text Indent 3"/>
    <w:basedOn w:val="1"/>
    <w:link w:val="46"/>
    <w:qFormat/>
    <w:uiPriority w:val="0"/>
    <w:pPr>
      <w:snapToGrid w:val="0"/>
      <w:spacing w:after="120" w:line="360" w:lineRule="auto"/>
      <w:ind w:firstLine="1365"/>
    </w:pPr>
    <w:rPr>
      <w:rFonts w:ascii="宋体"/>
      <w:kern w:val="0"/>
      <w:sz w:val="28"/>
      <w:szCs w:val="20"/>
    </w:rPr>
  </w:style>
  <w:style w:type="paragraph" w:styleId="25">
    <w:name w:val="toc 2"/>
    <w:basedOn w:val="1"/>
    <w:next w:val="1"/>
    <w:qFormat/>
    <w:uiPriority w:val="39"/>
    <w:pPr>
      <w:ind w:left="420" w:leftChars="200"/>
    </w:pPr>
  </w:style>
  <w:style w:type="paragraph" w:styleId="26">
    <w:name w:val="Normal (Web)"/>
    <w:basedOn w:val="1"/>
    <w:qFormat/>
    <w:uiPriority w:val="0"/>
    <w:rPr>
      <w:rFonts w:ascii="Calibri" w:hAnsi="Calibri"/>
      <w:sz w:val="24"/>
      <w:szCs w:val="22"/>
    </w:rPr>
  </w:style>
  <w:style w:type="paragraph" w:styleId="27">
    <w:name w:val="annotation subject"/>
    <w:basedOn w:val="8"/>
    <w:next w:val="8"/>
    <w:link w:val="63"/>
    <w:semiHidden/>
    <w:qFormat/>
    <w:uiPriority w:val="0"/>
    <w:rPr>
      <w:b/>
      <w:bCs/>
      <w:kern w:val="0"/>
      <w:sz w:val="20"/>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22"/>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Emphasis"/>
    <w:basedOn w:val="30"/>
    <w:qFormat/>
    <w:uiPriority w:val="20"/>
    <w:rPr>
      <w:color w:val="CC0000"/>
    </w:rPr>
  </w:style>
  <w:style w:type="character" w:styleId="35">
    <w:name w:val="Hyperlink"/>
    <w:qFormat/>
    <w:uiPriority w:val="99"/>
    <w:rPr>
      <w:color w:val="0000FF"/>
      <w:u w:val="single"/>
    </w:rPr>
  </w:style>
  <w:style w:type="character" w:styleId="36">
    <w:name w:val="annotation reference"/>
    <w:semiHidden/>
    <w:qFormat/>
    <w:uiPriority w:val="0"/>
    <w:rPr>
      <w:sz w:val="21"/>
      <w:szCs w:val="21"/>
    </w:rPr>
  </w:style>
  <w:style w:type="character" w:styleId="37">
    <w:name w:val="footnote reference"/>
    <w:qFormat/>
    <w:uiPriority w:val="0"/>
    <w:rPr>
      <w:vertAlign w:val="superscript"/>
    </w:rPr>
  </w:style>
  <w:style w:type="character" w:customStyle="1" w:styleId="38">
    <w:name w:val="副标题 字符"/>
    <w:link w:val="22"/>
    <w:qFormat/>
    <w:uiPriority w:val="0"/>
    <w:rPr>
      <w:rFonts w:ascii="Cambria" w:hAnsi="Cambria" w:eastAsia="宋体" w:cs="Times New Roman"/>
      <w:b/>
      <w:bCs/>
      <w:kern w:val="28"/>
      <w:sz w:val="32"/>
      <w:szCs w:val="32"/>
    </w:rPr>
  </w:style>
  <w:style w:type="character" w:customStyle="1" w:styleId="39">
    <w:name w:val="日期 字符"/>
    <w:link w:val="15"/>
    <w:qFormat/>
    <w:uiPriority w:val="0"/>
    <w:rPr>
      <w:rFonts w:ascii="Times New Roman" w:hAnsi="Times New Roman" w:eastAsia="宋体" w:cs="Times New Roman"/>
      <w:sz w:val="28"/>
      <w:szCs w:val="24"/>
    </w:rPr>
  </w:style>
  <w:style w:type="character" w:customStyle="1" w:styleId="40">
    <w:name w:val="脚注文本 字符"/>
    <w:link w:val="23"/>
    <w:qFormat/>
    <w:uiPriority w:val="0"/>
    <w:rPr>
      <w:rFonts w:ascii="Times New Roman" w:hAnsi="Times New Roman" w:eastAsia="宋体" w:cs="Times New Roman"/>
      <w:sz w:val="18"/>
      <w:szCs w:val="18"/>
    </w:rPr>
  </w:style>
  <w:style w:type="character" w:customStyle="1" w:styleId="41">
    <w:name w:val="批注框文本 字符"/>
    <w:link w:val="9"/>
    <w:semiHidden/>
    <w:qFormat/>
    <w:uiPriority w:val="0"/>
    <w:rPr>
      <w:rFonts w:ascii="Times New Roman" w:hAnsi="Times New Roman"/>
      <w:kern w:val="2"/>
      <w:sz w:val="28"/>
      <w:szCs w:val="18"/>
    </w:rPr>
  </w:style>
  <w:style w:type="character" w:customStyle="1" w:styleId="42">
    <w:name w:val="纯文本 字符"/>
    <w:link w:val="14"/>
    <w:qFormat/>
    <w:uiPriority w:val="0"/>
    <w:rPr>
      <w:rFonts w:ascii="宋体" w:hAnsi="Courier New" w:eastAsia="宋体"/>
      <w:szCs w:val="24"/>
    </w:rPr>
  </w:style>
  <w:style w:type="character" w:customStyle="1" w:styleId="43">
    <w:name w:val="列出段落 Char"/>
    <w:link w:val="44"/>
    <w:qFormat/>
    <w:locked/>
    <w:uiPriority w:val="99"/>
    <w:rPr>
      <w:rFonts w:ascii="Times New Roman" w:hAnsi="Times New Roman"/>
      <w:kern w:val="2"/>
      <w:sz w:val="21"/>
      <w:szCs w:val="24"/>
    </w:rPr>
  </w:style>
  <w:style w:type="paragraph" w:customStyle="1" w:styleId="44">
    <w:name w:val="列出段落2"/>
    <w:basedOn w:val="1"/>
    <w:link w:val="43"/>
    <w:qFormat/>
    <w:uiPriority w:val="99"/>
    <w:pPr>
      <w:ind w:firstLine="420" w:firstLineChars="200"/>
    </w:pPr>
  </w:style>
  <w:style w:type="character" w:customStyle="1" w:styleId="45">
    <w:name w:val="纯文本 Char1"/>
    <w:semiHidden/>
    <w:qFormat/>
    <w:uiPriority w:val="99"/>
    <w:rPr>
      <w:rFonts w:ascii="宋体" w:hAnsi="Courier New" w:eastAsia="宋体" w:cs="Courier New"/>
      <w:szCs w:val="21"/>
    </w:rPr>
  </w:style>
  <w:style w:type="character" w:customStyle="1" w:styleId="46">
    <w:name w:val="正文文本缩进 3 字符"/>
    <w:link w:val="24"/>
    <w:qFormat/>
    <w:uiPriority w:val="0"/>
    <w:rPr>
      <w:rFonts w:ascii="宋体" w:hAnsi="Times New Roman" w:eastAsia="宋体" w:cs="Times New Roman"/>
      <w:sz w:val="28"/>
      <w:szCs w:val="20"/>
    </w:rPr>
  </w:style>
  <w:style w:type="character" w:customStyle="1" w:styleId="47">
    <w:name w:val="正文缩进 字符"/>
    <w:link w:val="6"/>
    <w:qFormat/>
    <w:uiPriority w:val="0"/>
    <w:rPr>
      <w:rFonts w:eastAsia="宋体"/>
    </w:rPr>
  </w:style>
  <w:style w:type="character" w:customStyle="1" w:styleId="48">
    <w:name w:val="标题 2 字符"/>
    <w:link w:val="3"/>
    <w:qFormat/>
    <w:uiPriority w:val="0"/>
    <w:rPr>
      <w:rFonts w:ascii="Arial" w:hAnsi="Arial" w:eastAsia="宋体" w:cs="Times New Roman"/>
      <w:b/>
      <w:bCs/>
      <w:sz w:val="28"/>
      <w:szCs w:val="32"/>
    </w:rPr>
  </w:style>
  <w:style w:type="character" w:customStyle="1" w:styleId="49">
    <w:name w:val="页眉1 Char"/>
    <w:link w:val="50"/>
    <w:qFormat/>
    <w:uiPriority w:val="0"/>
    <w:rPr>
      <w:sz w:val="18"/>
      <w:szCs w:val="18"/>
    </w:rPr>
  </w:style>
  <w:style w:type="paragraph" w:customStyle="1" w:styleId="50">
    <w:name w:val="页眉1"/>
    <w:basedOn w:val="18"/>
    <w:link w:val="49"/>
    <w:qFormat/>
    <w:uiPriority w:val="0"/>
    <w:pPr>
      <w:pBdr>
        <w:bottom w:val="none" w:color="auto" w:sz="0" w:space="0"/>
      </w:pBdr>
      <w:jc w:val="both"/>
    </w:pPr>
  </w:style>
  <w:style w:type="character" w:customStyle="1" w:styleId="51">
    <w:name w:val="页眉 字符"/>
    <w:link w:val="18"/>
    <w:qFormat/>
    <w:uiPriority w:val="0"/>
    <w:rPr>
      <w:sz w:val="18"/>
      <w:szCs w:val="18"/>
    </w:rPr>
  </w:style>
  <w:style w:type="character" w:customStyle="1" w:styleId="52">
    <w:name w:val="标题 3 字符"/>
    <w:link w:val="4"/>
    <w:qFormat/>
    <w:uiPriority w:val="0"/>
    <w:rPr>
      <w:rFonts w:ascii="Times New Roman" w:hAnsi="Times New Roman" w:eastAsia="宋体" w:cs="Times New Roman"/>
      <w:b/>
      <w:bCs/>
      <w:sz w:val="24"/>
      <w:szCs w:val="32"/>
    </w:rPr>
  </w:style>
  <w:style w:type="character" w:customStyle="1" w:styleId="53">
    <w:name w:val="h2"/>
    <w:qFormat/>
    <w:uiPriority w:val="0"/>
    <w:rPr>
      <w:color w:val="000000"/>
      <w:sz w:val="24"/>
      <w:szCs w:val="24"/>
    </w:rPr>
  </w:style>
  <w:style w:type="character" w:customStyle="1" w:styleId="54">
    <w:name w:val="unnamed1"/>
    <w:basedOn w:val="30"/>
    <w:qFormat/>
    <w:uiPriority w:val="0"/>
  </w:style>
  <w:style w:type="character" w:customStyle="1" w:styleId="55">
    <w:name w:val="正文文本缩进 字符"/>
    <w:link w:val="11"/>
    <w:qFormat/>
    <w:uiPriority w:val="0"/>
    <w:rPr>
      <w:rFonts w:ascii="宋体" w:hAnsi="宋体" w:eastAsia="宋体" w:cs="Times New Roman"/>
      <w:sz w:val="24"/>
      <w:szCs w:val="24"/>
    </w:rPr>
  </w:style>
  <w:style w:type="character" w:customStyle="1" w:styleId="56">
    <w:name w:val="页脚 字符"/>
    <w:link w:val="17"/>
    <w:qFormat/>
    <w:uiPriority w:val="0"/>
    <w:rPr>
      <w:rFonts w:ascii="Times New Roman" w:hAnsi="Times New Roman" w:eastAsia="宋体" w:cs="Times New Roman"/>
      <w:sz w:val="18"/>
      <w:szCs w:val="18"/>
    </w:rPr>
  </w:style>
  <w:style w:type="character" w:customStyle="1" w:styleId="57">
    <w:name w:val="标题 4 字符"/>
    <w:link w:val="5"/>
    <w:semiHidden/>
    <w:qFormat/>
    <w:uiPriority w:val="9"/>
    <w:rPr>
      <w:rFonts w:ascii="Cambria" w:hAnsi="Cambria" w:eastAsia="宋体" w:cs="Times New Roman"/>
      <w:b/>
      <w:bCs/>
      <w:sz w:val="28"/>
      <w:szCs w:val="28"/>
    </w:rPr>
  </w:style>
  <w:style w:type="character" w:customStyle="1" w:styleId="58">
    <w:name w:val="font101"/>
    <w:qFormat/>
    <w:uiPriority w:val="0"/>
    <w:rPr>
      <w:rFonts w:hint="eastAsia" w:ascii="黑体" w:hAnsi="宋体" w:eastAsia="黑体" w:cs="黑体"/>
      <w:color w:val="000000"/>
      <w:sz w:val="20"/>
      <w:szCs w:val="20"/>
      <w:u w:val="none"/>
    </w:rPr>
  </w:style>
  <w:style w:type="character" w:customStyle="1" w:styleId="59">
    <w:name w:val="标题 1 字符"/>
    <w:link w:val="2"/>
    <w:qFormat/>
    <w:uiPriority w:val="0"/>
    <w:rPr>
      <w:rFonts w:ascii="Times New Roman" w:hAnsi="Times New Roman" w:eastAsia="宋体" w:cs="Times New Roman"/>
      <w:b/>
      <w:bCs/>
      <w:kern w:val="44"/>
      <w:sz w:val="44"/>
      <w:szCs w:val="44"/>
    </w:rPr>
  </w:style>
  <w:style w:type="character" w:customStyle="1" w:styleId="60">
    <w:name w:val="正文文本缩进 2 字符"/>
    <w:link w:val="16"/>
    <w:qFormat/>
    <w:uiPriority w:val="0"/>
    <w:rPr>
      <w:rFonts w:ascii="宋体" w:hAnsi="宋体" w:eastAsia="宋体" w:cs="Times New Roman"/>
      <w:color w:val="000000"/>
      <w:sz w:val="24"/>
      <w:szCs w:val="24"/>
    </w:rPr>
  </w:style>
  <w:style w:type="character" w:customStyle="1" w:styleId="61">
    <w:name w:val="font61"/>
    <w:qFormat/>
    <w:uiPriority w:val="0"/>
    <w:rPr>
      <w:rFonts w:hint="eastAsia" w:ascii="宋体" w:hAnsi="宋体" w:eastAsia="宋体" w:cs="宋体"/>
      <w:color w:val="000000"/>
      <w:sz w:val="20"/>
      <w:szCs w:val="20"/>
      <w:u w:val="none"/>
    </w:rPr>
  </w:style>
  <w:style w:type="character" w:customStyle="1" w:styleId="62">
    <w:name w:val="文档结构图 字符"/>
    <w:link w:val="7"/>
    <w:semiHidden/>
    <w:qFormat/>
    <w:uiPriority w:val="0"/>
    <w:rPr>
      <w:rFonts w:ascii="Times New Roman" w:hAnsi="Times New Roman" w:eastAsia="宋体" w:cs="Times New Roman"/>
      <w:szCs w:val="24"/>
      <w:shd w:val="clear" w:color="auto" w:fill="000080"/>
    </w:rPr>
  </w:style>
  <w:style w:type="character" w:customStyle="1" w:styleId="63">
    <w:name w:val="批注主题 字符"/>
    <w:link w:val="27"/>
    <w:semiHidden/>
    <w:qFormat/>
    <w:uiPriority w:val="0"/>
    <w:rPr>
      <w:rFonts w:ascii="Times New Roman" w:hAnsi="Times New Roman" w:eastAsia="宋体" w:cs="Times New Roman"/>
      <w:b/>
      <w:bCs/>
      <w:szCs w:val="24"/>
    </w:rPr>
  </w:style>
  <w:style w:type="character" w:customStyle="1" w:styleId="64">
    <w:name w:val="页眉 Char1"/>
    <w:semiHidden/>
    <w:qFormat/>
    <w:uiPriority w:val="99"/>
    <w:rPr>
      <w:rFonts w:ascii="Times New Roman" w:hAnsi="Times New Roman" w:eastAsia="宋体" w:cs="Times New Roman"/>
      <w:sz w:val="18"/>
      <w:szCs w:val="18"/>
    </w:rPr>
  </w:style>
  <w:style w:type="character" w:customStyle="1" w:styleId="65">
    <w:name w:val="批注文字 字符"/>
    <w:link w:val="8"/>
    <w:qFormat/>
    <w:uiPriority w:val="0"/>
    <w:rPr>
      <w:rFonts w:ascii="Times New Roman" w:hAnsi="Times New Roman"/>
      <w:kern w:val="2"/>
      <w:sz w:val="24"/>
      <w:szCs w:val="24"/>
    </w:rPr>
  </w:style>
  <w:style w:type="character" w:customStyle="1" w:styleId="66">
    <w:name w:val="apple-converted-space"/>
    <w:qFormat/>
    <w:uiPriority w:val="99"/>
    <w:rPr>
      <w:rFonts w:cs="Times New Roman"/>
    </w:rPr>
  </w:style>
  <w:style w:type="paragraph" w:customStyle="1" w:styleId="67">
    <w:name w:val="1"/>
    <w:basedOn w:val="1"/>
    <w:qFormat/>
    <w:uiPriority w:val="0"/>
    <w:pPr>
      <w:widowControl/>
      <w:spacing w:after="160" w:line="240" w:lineRule="exact"/>
      <w:jc w:val="left"/>
    </w:pPr>
    <w:rPr>
      <w:rFonts w:ascii="Verdana" w:hAnsi="Verdana"/>
      <w:kern w:val="0"/>
      <w:szCs w:val="20"/>
      <w:lang w:eastAsia="en-US"/>
    </w:rPr>
  </w:style>
  <w:style w:type="paragraph" w:customStyle="1" w:styleId="68">
    <w:name w:val="Char Char Char"/>
    <w:basedOn w:val="1"/>
    <w:qFormat/>
    <w:uiPriority w:val="0"/>
    <w:rPr>
      <w:rFonts w:ascii="宋体" w:hAnsi="宋体"/>
      <w:b/>
      <w:sz w:val="28"/>
      <w:szCs w:val="28"/>
    </w:rPr>
  </w:style>
  <w:style w:type="paragraph" w:customStyle="1" w:styleId="69">
    <w:name w:val="Char Char Char Char"/>
    <w:basedOn w:val="1"/>
    <w:qFormat/>
    <w:uiPriority w:val="0"/>
    <w:rPr>
      <w:szCs w:val="20"/>
    </w:rPr>
  </w:style>
  <w:style w:type="paragraph" w:customStyle="1" w:styleId="70">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1">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列出段落1"/>
    <w:basedOn w:val="1"/>
    <w:qFormat/>
    <w:uiPriority w:val="0"/>
    <w:pPr>
      <w:ind w:firstLine="420" w:firstLineChars="200"/>
    </w:pPr>
    <w:rPr>
      <w:rFonts w:ascii="Calibri" w:hAnsi="Calibri"/>
      <w:szCs w:val="21"/>
    </w:rPr>
  </w:style>
  <w:style w:type="paragraph" w:customStyle="1" w:styleId="76">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7">
    <w:name w:val="Char1 Char Char Char"/>
    <w:basedOn w:val="1"/>
    <w:qFormat/>
    <w:uiPriority w:val="0"/>
    <w:pPr>
      <w:ind w:left="420" w:hanging="420"/>
    </w:pPr>
    <w:rPr>
      <w:sz w:val="24"/>
    </w:rPr>
  </w:style>
  <w:style w:type="paragraph" w:customStyle="1" w:styleId="78">
    <w:name w:val="_Style 1"/>
    <w:basedOn w:val="1"/>
    <w:qFormat/>
    <w:uiPriority w:val="99"/>
    <w:pPr>
      <w:ind w:firstLine="420" w:firstLineChars="200"/>
    </w:pPr>
  </w:style>
  <w:style w:type="paragraph" w:customStyle="1" w:styleId="79">
    <w:name w:val="样式2"/>
    <w:basedOn w:val="1"/>
    <w:qFormat/>
    <w:uiPriority w:val="0"/>
    <w:rPr>
      <w:b/>
      <w:sz w:val="24"/>
    </w:rPr>
  </w:style>
  <w:style w:type="paragraph" w:customStyle="1" w:styleId="80">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图"/>
    <w:basedOn w:val="1"/>
    <w:link w:val="93"/>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2">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3">
    <w:name w:val="Char"/>
    <w:basedOn w:val="1"/>
    <w:qFormat/>
    <w:uiPriority w:val="0"/>
    <w:pPr>
      <w:tabs>
        <w:tab w:val="left" w:pos="0"/>
      </w:tabs>
      <w:ind w:left="964" w:hanging="964"/>
    </w:pPr>
    <w:rPr>
      <w:sz w:val="24"/>
    </w:rPr>
  </w:style>
  <w:style w:type="paragraph" w:styleId="84">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5">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hwyang"/>
    <w:basedOn w:val="1"/>
    <w:qFormat/>
    <w:uiPriority w:val="0"/>
    <w:pPr>
      <w:widowControl/>
      <w:spacing w:line="360" w:lineRule="auto"/>
      <w:ind w:firstLine="480" w:firstLineChars="200"/>
      <w:jc w:val="left"/>
    </w:pPr>
    <w:rPr>
      <w:kern w:val="0"/>
      <w:sz w:val="24"/>
      <w:szCs w:val="20"/>
    </w:rPr>
  </w:style>
  <w:style w:type="paragraph" w:customStyle="1" w:styleId="89">
    <w:name w:val="列表段落1"/>
    <w:basedOn w:val="1"/>
    <w:qFormat/>
    <w:uiPriority w:val="0"/>
    <w:pPr>
      <w:ind w:firstLine="420" w:firstLineChars="200"/>
    </w:pPr>
    <w:rPr>
      <w:rFonts w:ascii="Calibri" w:hAnsi="Calibri"/>
      <w:szCs w:val="21"/>
    </w:rPr>
  </w:style>
  <w:style w:type="paragraph" w:customStyle="1" w:styleId="90">
    <w:name w:val="正文_0_1"/>
    <w:basedOn w:val="1"/>
    <w:qFormat/>
    <w:uiPriority w:val="0"/>
    <w:pPr>
      <w:spacing w:line="360" w:lineRule="auto"/>
    </w:pPr>
    <w:rPr>
      <w:rFonts w:ascii="Calibri" w:hAnsi="Calibri" w:eastAsia="仿宋" w:cs="宋体"/>
      <w:sz w:val="28"/>
      <w:szCs w:val="28"/>
    </w:rPr>
  </w:style>
  <w:style w:type="paragraph" w:customStyle="1" w:styleId="91">
    <w:name w:val="￥正文"/>
    <w:basedOn w:val="1"/>
    <w:qFormat/>
    <w:uiPriority w:val="0"/>
    <w:pPr>
      <w:spacing w:line="360" w:lineRule="auto"/>
    </w:pPr>
    <w:rPr>
      <w:rFonts w:ascii="Calibri" w:hAnsi="Calibri"/>
      <w:kern w:val="0"/>
      <w:sz w:val="24"/>
      <w:szCs w:val="20"/>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图 Char Char"/>
    <w:link w:val="81"/>
    <w:qFormat/>
    <w:locked/>
    <w:uiPriority w:val="0"/>
    <w:rPr>
      <w:rFonts w:ascii="Times New Roman" w:hAnsi="Times New Roman"/>
      <w:snapToGrid w:val="0"/>
      <w:spacing w:val="20"/>
      <w:sz w:val="24"/>
    </w:rPr>
  </w:style>
  <w:style w:type="paragraph" w:customStyle="1" w:styleId="94">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5">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7">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List Paragraph Char"/>
    <w:qFormat/>
    <w:locked/>
    <w:uiPriority w:val="99"/>
    <w:rPr>
      <w:kern w:val="0"/>
      <w:sz w:val="20"/>
      <w:szCs w:val="20"/>
    </w:rPr>
  </w:style>
  <w:style w:type="paragraph" w:customStyle="1" w:styleId="99">
    <w:name w:val="_正文段落"/>
    <w:basedOn w:val="1"/>
    <w:link w:val="100"/>
    <w:qFormat/>
    <w:uiPriority w:val="0"/>
    <w:pPr>
      <w:spacing w:beforeLines="15" w:afterLines="15" w:line="360" w:lineRule="auto"/>
      <w:ind w:firstLine="200" w:firstLineChars="200"/>
    </w:pPr>
    <w:rPr>
      <w:sz w:val="24"/>
    </w:rPr>
  </w:style>
  <w:style w:type="character" w:customStyle="1" w:styleId="100">
    <w:name w:val="_正文段落 Char"/>
    <w:link w:val="99"/>
    <w:qFormat/>
    <w:uiPriority w:val="0"/>
    <w:rPr>
      <w:rFonts w:ascii="Times New Roman" w:hAnsi="Times New Roman"/>
      <w:kern w:val="2"/>
      <w:sz w:val="24"/>
      <w:szCs w:val="24"/>
    </w:rPr>
  </w:style>
  <w:style w:type="paragraph" w:customStyle="1" w:styleId="101">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0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04">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1884</Words>
  <Characters>10744</Characters>
  <Lines>89</Lines>
  <Paragraphs>25</Paragraphs>
  <TotalTime>13</TotalTime>
  <ScaleCrop>false</ScaleCrop>
  <LinksUpToDate>false</LinksUpToDate>
  <CharactersWithSpaces>12603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2024-01-17T04:11:00Z</dcterms:created>
  <dc:creator>招投标中心</dc:creator>
  <cp:lastModifiedBy>李智勇</cp:lastModifiedBy>
  <cp:lastPrinted>2022-01-21T10:35:00Z</cp:lastPrinted>
  <dcterms:modified xsi:type="dcterms:W3CDTF">2024-01-18T00:57:20Z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B30F6D455A294E46ABA8C28F6783366E_13</vt:lpwstr>
  </property>
</Properties>
</file>